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76B7D" w14:textId="77777777" w:rsidR="002D3FB9" w:rsidRDefault="002D3FB9" w:rsidP="002D3FB9">
      <w:pPr>
        <w:jc w:val="center"/>
        <w:rPr>
          <w:sz w:val="32"/>
          <w:szCs w:val="32"/>
        </w:rPr>
      </w:pPr>
      <w:r>
        <w:rPr>
          <w:b/>
          <w:sz w:val="32"/>
          <w:szCs w:val="32"/>
        </w:rPr>
        <w:t>POSC 2501</w:t>
      </w:r>
      <w:r w:rsidRPr="0076658C">
        <w:rPr>
          <w:b/>
          <w:sz w:val="32"/>
          <w:szCs w:val="32"/>
        </w:rPr>
        <w:t>:</w:t>
      </w:r>
      <w:r>
        <w:rPr>
          <w:szCs w:val="24"/>
        </w:rPr>
        <w:t xml:space="preserve">  </w:t>
      </w:r>
      <w:r>
        <w:rPr>
          <w:b/>
          <w:sz w:val="32"/>
          <w:szCs w:val="32"/>
        </w:rPr>
        <w:t>Introduction to International Politics</w:t>
      </w:r>
    </w:p>
    <w:p w14:paraId="5A838F26" w14:textId="77777777" w:rsidR="002D3FB9" w:rsidRDefault="00CA0502" w:rsidP="002D3FB9">
      <w:pPr>
        <w:jc w:val="center"/>
        <w:rPr>
          <w:szCs w:val="24"/>
        </w:rPr>
      </w:pPr>
      <w:r>
        <w:rPr>
          <w:szCs w:val="24"/>
        </w:rPr>
        <w:t xml:space="preserve">Fall </w:t>
      </w:r>
      <w:r w:rsidR="00622DD3">
        <w:rPr>
          <w:szCs w:val="24"/>
        </w:rPr>
        <w:t>2016</w:t>
      </w:r>
      <w:r w:rsidR="003E62F0">
        <w:rPr>
          <w:szCs w:val="24"/>
        </w:rPr>
        <w:t xml:space="preserve"> </w:t>
      </w:r>
      <w:r w:rsidR="008D380A">
        <w:rPr>
          <w:szCs w:val="24"/>
        </w:rPr>
        <w:t xml:space="preserve">– </w:t>
      </w:r>
    </w:p>
    <w:p w14:paraId="04177E7F" w14:textId="77777777" w:rsidR="008D380A" w:rsidRDefault="008D380A" w:rsidP="002D3FB9">
      <w:pPr>
        <w:jc w:val="center"/>
        <w:rPr>
          <w:szCs w:val="24"/>
        </w:rPr>
      </w:pPr>
      <w:r>
        <w:rPr>
          <w:szCs w:val="24"/>
        </w:rPr>
        <w:t>1</w:t>
      </w:r>
      <w:r w:rsidR="001442CD">
        <w:rPr>
          <w:szCs w:val="24"/>
        </w:rPr>
        <w:t>1</w:t>
      </w:r>
      <w:r>
        <w:rPr>
          <w:szCs w:val="24"/>
        </w:rPr>
        <w:t>:</w:t>
      </w:r>
      <w:r w:rsidR="001442CD">
        <w:rPr>
          <w:szCs w:val="24"/>
        </w:rPr>
        <w:t>30 a</w:t>
      </w:r>
      <w:r>
        <w:rPr>
          <w:szCs w:val="24"/>
        </w:rPr>
        <w:t xml:space="preserve">m </w:t>
      </w:r>
      <w:r w:rsidR="001442CD">
        <w:rPr>
          <w:szCs w:val="24"/>
        </w:rPr>
        <w:t>–</w:t>
      </w:r>
      <w:r>
        <w:rPr>
          <w:szCs w:val="24"/>
        </w:rPr>
        <w:t xml:space="preserve"> </w:t>
      </w:r>
      <w:r w:rsidR="001442CD">
        <w:rPr>
          <w:szCs w:val="24"/>
        </w:rPr>
        <w:t>1</w:t>
      </w:r>
      <w:r>
        <w:rPr>
          <w:szCs w:val="24"/>
        </w:rPr>
        <w:t>2:</w:t>
      </w:r>
      <w:r w:rsidR="001442CD">
        <w:rPr>
          <w:szCs w:val="24"/>
        </w:rPr>
        <w:t>4</w:t>
      </w:r>
      <w:r>
        <w:rPr>
          <w:szCs w:val="24"/>
        </w:rPr>
        <w:t xml:space="preserve">5 pm </w:t>
      </w:r>
      <w:r w:rsidR="001442CD">
        <w:rPr>
          <w:szCs w:val="24"/>
        </w:rPr>
        <w:t>MR</w:t>
      </w:r>
    </w:p>
    <w:p w14:paraId="145C91E0" w14:textId="77777777" w:rsidR="002D3FB9" w:rsidRDefault="002D3FB9" w:rsidP="002D3FB9">
      <w:pPr>
        <w:jc w:val="center"/>
        <w:rPr>
          <w:szCs w:val="24"/>
        </w:rPr>
      </w:pPr>
      <w:r>
        <w:rPr>
          <w:szCs w:val="24"/>
        </w:rPr>
        <w:t>Prof. Raymond Kuo</w:t>
      </w:r>
    </w:p>
    <w:p w14:paraId="3E54F9A5" w14:textId="77777777" w:rsidR="002D3FB9" w:rsidRDefault="002D3FB9">
      <w:pPr>
        <w:pBdr>
          <w:bottom w:val="single" w:sz="6" w:space="1" w:color="auto"/>
        </w:pBdr>
      </w:pPr>
    </w:p>
    <w:p w14:paraId="5CF9FC6A" w14:textId="77777777" w:rsidR="003F5DF3" w:rsidRDefault="003F5DF3"/>
    <w:p w14:paraId="7D5567AA" w14:textId="77777777" w:rsidR="00485D57" w:rsidRPr="00485D57" w:rsidRDefault="00C41205" w:rsidP="00485D57">
      <w:r>
        <w:t xml:space="preserve">Welcome to </w:t>
      </w:r>
      <w:r w:rsidR="0047139E">
        <w:rPr>
          <w:i/>
        </w:rPr>
        <w:t>POSC 2501:  Introduction to International Politics</w:t>
      </w:r>
      <w:r>
        <w:t xml:space="preserve">.  </w:t>
      </w:r>
      <w:r w:rsidR="00485D57" w:rsidRPr="00485D57">
        <w:t>This course is an introduction to the causes and nature of international conflict and cooperation, as seen through historical episodes, contemporary concerns</w:t>
      </w:r>
      <w:r w:rsidR="00D402B6">
        <w:t>,</w:t>
      </w:r>
      <w:r w:rsidR="00485D57" w:rsidRPr="00485D57">
        <w:t xml:space="preserve"> and social scientific theories that cast light on them. </w:t>
      </w:r>
    </w:p>
    <w:p w14:paraId="5076D9F2" w14:textId="77777777" w:rsidR="00485D57" w:rsidRDefault="00485D57" w:rsidP="00C41205"/>
    <w:p w14:paraId="7A93F60C" w14:textId="77777777" w:rsidR="00485D57" w:rsidRPr="00485D57" w:rsidRDefault="00485D57" w:rsidP="00485D57">
      <w:r w:rsidRPr="00485D57">
        <w:t xml:space="preserve">Topics include the causes of war and peace, international political economy, the sources of international order and its breakdown, and the rise of challenges to national security and national sovereignty. </w:t>
      </w:r>
      <w:r>
        <w:t xml:space="preserve"> </w:t>
      </w:r>
      <w:r w:rsidRPr="00485D57">
        <w:t xml:space="preserve">Central questions include: </w:t>
      </w:r>
      <w:r>
        <w:t xml:space="preserve"> </w:t>
      </w:r>
      <w:r w:rsidRPr="00485D57">
        <w:t xml:space="preserve">Why do states wage war? </w:t>
      </w:r>
      <w:r>
        <w:t xml:space="preserve"> </w:t>
      </w:r>
      <w:r w:rsidRPr="00485D57">
        <w:t xml:space="preserve">What explains the conduct and the outcomes of warfare? </w:t>
      </w:r>
      <w:r>
        <w:t xml:space="preserve"> </w:t>
      </w:r>
      <w:r w:rsidRPr="00485D57">
        <w:t xml:space="preserve">Why do states sometimes liberalize trade and sometimes engage in protectionism? </w:t>
      </w:r>
      <w:r>
        <w:t xml:space="preserve"> </w:t>
      </w:r>
      <w:r w:rsidRPr="00485D57">
        <w:t xml:space="preserve">Are international economic rules fair to developing countries? </w:t>
      </w:r>
      <w:r>
        <w:t xml:space="preserve"> </w:t>
      </w:r>
      <w:r w:rsidRPr="00485D57">
        <w:t xml:space="preserve">To developed ones? </w:t>
      </w:r>
      <w:r>
        <w:t xml:space="preserve"> </w:t>
      </w:r>
      <w:r w:rsidRPr="00485D57">
        <w:t xml:space="preserve">Why do states cooperate? </w:t>
      </w:r>
      <w:r>
        <w:t xml:space="preserve"> </w:t>
      </w:r>
      <w:r w:rsidRPr="00485D57">
        <w:t xml:space="preserve">Why do they construct international organizations limiting their </w:t>
      </w:r>
      <w:r>
        <w:t xml:space="preserve">freedom of action and </w:t>
      </w:r>
      <w:r w:rsidRPr="00485D57">
        <w:t xml:space="preserve">legal sovereignty? </w:t>
      </w:r>
      <w:r>
        <w:t xml:space="preserve"> </w:t>
      </w:r>
      <w:r w:rsidRPr="00485D57">
        <w:t xml:space="preserve">Why do they engage in seemingly ethical and altruistic behavior in areas such as human rights? </w:t>
      </w:r>
      <w:r>
        <w:t xml:space="preserve"> </w:t>
      </w:r>
      <w:r w:rsidRPr="00485D57">
        <w:t xml:space="preserve">What possibilities are there to provide global public goods, such as a clean environment or a world free from weapons of mass destruction? </w:t>
      </w:r>
      <w:r>
        <w:t xml:space="preserve"> </w:t>
      </w:r>
      <w:r w:rsidRPr="00485D57">
        <w:t>Are “non-state actors” usurping the prerogatives of sovereign states?</w:t>
      </w:r>
    </w:p>
    <w:p w14:paraId="19532219" w14:textId="77777777" w:rsidR="00C41205" w:rsidRDefault="00C41205" w:rsidP="00C41205"/>
    <w:p w14:paraId="254FD6C0" w14:textId="77777777" w:rsidR="00C41205" w:rsidRDefault="003723DD" w:rsidP="00C41205">
      <w:r>
        <w:t>This course has four</w:t>
      </w:r>
      <w:r w:rsidR="001B611A">
        <w:t xml:space="preserve"> </w:t>
      </w:r>
      <w:r w:rsidR="00C41205">
        <w:t>principal objectives:</w:t>
      </w:r>
    </w:p>
    <w:p w14:paraId="02EE4A09" w14:textId="77777777" w:rsidR="00C41205" w:rsidRDefault="00C41205" w:rsidP="00C41205"/>
    <w:p w14:paraId="0A9AFD49" w14:textId="77777777" w:rsidR="00BC4578" w:rsidRDefault="00BC4578" w:rsidP="00C41205">
      <w:pPr>
        <w:pStyle w:val="ListParagraph"/>
        <w:numPr>
          <w:ilvl w:val="0"/>
          <w:numId w:val="1"/>
        </w:numPr>
      </w:pPr>
      <w:r>
        <w:t xml:space="preserve">To help you develop a “toolkit” of theoretical perspectives that can be applied to </w:t>
      </w:r>
      <w:r w:rsidR="004417F3">
        <w:t xml:space="preserve">analyze </w:t>
      </w:r>
      <w:r>
        <w:t>any past or current international challenge;</w:t>
      </w:r>
    </w:p>
    <w:p w14:paraId="76F38DF8" w14:textId="77777777" w:rsidR="00BC4578" w:rsidRDefault="00BC4578" w:rsidP="00BC4578">
      <w:pPr>
        <w:pStyle w:val="ListParagraph"/>
      </w:pPr>
    </w:p>
    <w:p w14:paraId="789A599E" w14:textId="77777777" w:rsidR="00C41205" w:rsidRDefault="00BC4578" w:rsidP="00C41205">
      <w:pPr>
        <w:pStyle w:val="ListParagraph"/>
        <w:numPr>
          <w:ilvl w:val="0"/>
          <w:numId w:val="1"/>
        </w:numPr>
      </w:pPr>
      <w:r>
        <w:t xml:space="preserve">To </w:t>
      </w:r>
      <w:r w:rsidR="00DD0F24">
        <w:t xml:space="preserve">arm </w:t>
      </w:r>
      <w:r>
        <w:t xml:space="preserve">you with a broad understanding of </w:t>
      </w:r>
      <w:r w:rsidR="009770C7">
        <w:t>international history</w:t>
      </w:r>
      <w:r w:rsidR="00D02FE5">
        <w:t xml:space="preserve"> and, from that basis, afford you the opportunity to develop your own informed opinions and positions </w:t>
      </w:r>
      <w:r w:rsidR="001B611A">
        <w:t xml:space="preserve">about </w:t>
      </w:r>
      <w:r w:rsidR="005C28E3">
        <w:t xml:space="preserve">contemporary foreign </w:t>
      </w:r>
      <w:r w:rsidR="00C41205">
        <w:t xml:space="preserve">policy </w:t>
      </w:r>
      <w:r w:rsidR="005C28E3">
        <w:t>challenges</w:t>
      </w:r>
      <w:r w:rsidR="00C41205">
        <w:t>.</w:t>
      </w:r>
    </w:p>
    <w:p w14:paraId="546D011A" w14:textId="77777777" w:rsidR="005E21DD" w:rsidRDefault="005E21DD" w:rsidP="005E21DD">
      <w:pPr>
        <w:pStyle w:val="ListParagraph"/>
      </w:pPr>
    </w:p>
    <w:p w14:paraId="74D02247" w14:textId="77777777" w:rsidR="005E21DD" w:rsidRDefault="00DD0F24" w:rsidP="00C41205">
      <w:pPr>
        <w:pStyle w:val="ListParagraph"/>
        <w:numPr>
          <w:ilvl w:val="0"/>
          <w:numId w:val="1"/>
        </w:numPr>
      </w:pPr>
      <w:r>
        <w:t xml:space="preserve">To </w:t>
      </w:r>
      <w:r w:rsidR="00C25130">
        <w:t>develop your ability to draw causal connections across historical cases, both to foster stronger arguments, but also to d</w:t>
      </w:r>
      <w:r w:rsidR="005E21DD">
        <w:t>iscover or reinforce a fascination with the complexity</w:t>
      </w:r>
      <w:r w:rsidR="00F12826">
        <w:t>, frustration,</w:t>
      </w:r>
      <w:r w:rsidR="005E21DD">
        <w:t xml:space="preserve"> and awesomeness of international affairs</w:t>
      </w:r>
      <w:r w:rsidR="00424833">
        <w:t xml:space="preserve"> and politics</w:t>
      </w:r>
      <w:r w:rsidR="005E21DD">
        <w:t>.</w:t>
      </w:r>
    </w:p>
    <w:p w14:paraId="6FBFE3D8" w14:textId="77777777" w:rsidR="00346632" w:rsidRDefault="00346632" w:rsidP="00346632">
      <w:pPr>
        <w:pStyle w:val="ListParagraph"/>
      </w:pPr>
    </w:p>
    <w:p w14:paraId="2F94BE98" w14:textId="77777777" w:rsidR="00346632" w:rsidRDefault="00346632" w:rsidP="00C41205">
      <w:pPr>
        <w:pStyle w:val="ListParagraph"/>
        <w:numPr>
          <w:ilvl w:val="0"/>
          <w:numId w:val="1"/>
        </w:numPr>
      </w:pPr>
      <w:r>
        <w:t xml:space="preserve">To develop your professional skills, such as time management, meeting deadlines, and general administration and </w:t>
      </w:r>
      <w:r w:rsidR="00DE27F6">
        <w:t>logistics that</w:t>
      </w:r>
      <w:r>
        <w:t xml:space="preserve"> you </w:t>
      </w:r>
      <w:r w:rsidR="00AB4532">
        <w:t>will need in the workforce</w:t>
      </w:r>
      <w:r>
        <w:t>.</w:t>
      </w:r>
    </w:p>
    <w:p w14:paraId="7860A10F" w14:textId="77777777" w:rsidR="00D02FE5" w:rsidRDefault="00D02FE5" w:rsidP="00C41205"/>
    <w:p w14:paraId="2E0FC678" w14:textId="77777777" w:rsidR="00336E3C" w:rsidRDefault="00336E3C" w:rsidP="00C41205"/>
    <w:p w14:paraId="2E3DB38D" w14:textId="77777777" w:rsidR="003F5DF3" w:rsidRPr="003F5DF3" w:rsidRDefault="003F5DF3" w:rsidP="00C41205">
      <w:pPr>
        <w:rPr>
          <w:b/>
          <w:smallCaps/>
          <w:u w:val="single"/>
        </w:rPr>
      </w:pPr>
      <w:r w:rsidRPr="003F5DF3">
        <w:rPr>
          <w:b/>
          <w:smallCaps/>
          <w:u w:val="single"/>
        </w:rPr>
        <w:t>Schedule</w:t>
      </w:r>
    </w:p>
    <w:p w14:paraId="101DE66B" w14:textId="77777777" w:rsidR="001C747A" w:rsidRDefault="003F5DF3" w:rsidP="00C41205">
      <w:r>
        <w:t xml:space="preserve">Classes meet </w:t>
      </w:r>
      <w:r w:rsidR="00612276">
        <w:t xml:space="preserve">on Tuesdays and Fridays from 11:30 am to 12:45 pm.  The reading list for each week can be found below.  </w:t>
      </w:r>
      <w:r w:rsidR="001C747A">
        <w:t xml:space="preserve">Attendance </w:t>
      </w:r>
      <w:r w:rsidR="00DF3868">
        <w:t>is mandatory, per university guidelines</w:t>
      </w:r>
      <w:r w:rsidR="001C747A">
        <w:t>.</w:t>
      </w:r>
    </w:p>
    <w:p w14:paraId="661D4134" w14:textId="77777777" w:rsidR="003F5DF3" w:rsidRDefault="003F5DF3" w:rsidP="00C41205"/>
    <w:p w14:paraId="0B5B59C9" w14:textId="77777777" w:rsidR="00FC01CD" w:rsidRDefault="00FC01CD" w:rsidP="00C41205"/>
    <w:p w14:paraId="4A902B17" w14:textId="77777777" w:rsidR="00C70362" w:rsidRPr="00C70362" w:rsidRDefault="00C70362" w:rsidP="00C41205">
      <w:pPr>
        <w:rPr>
          <w:smallCaps/>
        </w:rPr>
      </w:pPr>
      <w:r>
        <w:rPr>
          <w:b/>
          <w:smallCaps/>
          <w:u w:val="single"/>
        </w:rPr>
        <w:t>Readings</w:t>
      </w:r>
    </w:p>
    <w:p w14:paraId="17D1FE9B" w14:textId="3E118DC9" w:rsidR="00C436D7" w:rsidRDefault="00BC2A6B" w:rsidP="00C70362">
      <w:r>
        <w:t xml:space="preserve">All </w:t>
      </w:r>
      <w:r w:rsidR="00C70362">
        <w:t xml:space="preserve">course readings are available through e-reserves on our Blackboard </w:t>
      </w:r>
      <w:r w:rsidR="005313E7">
        <w:t xml:space="preserve">course </w:t>
      </w:r>
      <w:r w:rsidR="00C70362">
        <w:t xml:space="preserve">site.  </w:t>
      </w:r>
      <w:r>
        <w:t>You should also consider purchasing the following book</w:t>
      </w:r>
      <w:bookmarkStart w:id="0" w:name="_GoBack"/>
      <w:bookmarkEnd w:id="0"/>
      <w:r>
        <w:t>:</w:t>
      </w:r>
    </w:p>
    <w:p w14:paraId="6E212D57" w14:textId="77777777" w:rsidR="00C436D7" w:rsidRDefault="00C436D7" w:rsidP="00C70362"/>
    <w:p w14:paraId="09D542D1" w14:textId="77777777" w:rsidR="00C436D7" w:rsidRDefault="00C436D7" w:rsidP="00C436D7">
      <w:pPr>
        <w:pStyle w:val="ListParagraph"/>
        <w:numPr>
          <w:ilvl w:val="0"/>
          <w:numId w:val="3"/>
        </w:numPr>
      </w:pPr>
      <w:r w:rsidRPr="00C436D7">
        <w:t xml:space="preserve">Henry Kissinger, </w:t>
      </w:r>
      <w:r w:rsidRPr="00C436D7">
        <w:rPr>
          <w:i/>
          <w:iCs/>
        </w:rPr>
        <w:t xml:space="preserve">Diplomacy </w:t>
      </w:r>
      <w:r w:rsidR="00BB2CDF">
        <w:t>(New York, 1994).</w:t>
      </w:r>
      <w:r w:rsidR="006E538D">
        <w:t xml:space="preserve">  NOTE:  This is also available on Blackboard as a pdf, but it is MUCH easier to read it in book form.</w:t>
      </w:r>
    </w:p>
    <w:p w14:paraId="55710818" w14:textId="77777777" w:rsidR="00C436D7" w:rsidRDefault="00C436D7" w:rsidP="00C436D7"/>
    <w:p w14:paraId="6C505516" w14:textId="77777777" w:rsidR="00F431ED" w:rsidRDefault="00C70362" w:rsidP="00C436D7">
      <w:r>
        <w:t>In addition, I have post</w:t>
      </w:r>
      <w:r w:rsidR="00D80FD9">
        <w:t>ed</w:t>
      </w:r>
      <w:r>
        <w:t xml:space="preserve"> additional content </w:t>
      </w:r>
      <w:r w:rsidR="003E2C85">
        <w:t xml:space="preserve">to </w:t>
      </w:r>
      <w:r w:rsidR="00C436D7">
        <w:t xml:space="preserve">the “Extra Materials” portion of </w:t>
      </w:r>
      <w:r w:rsidR="00795DBB">
        <w:t>our Blackboard</w:t>
      </w:r>
      <w:r w:rsidR="00C436D7">
        <w:t xml:space="preserve"> page.  </w:t>
      </w:r>
      <w:r w:rsidR="00795DBB">
        <w:t>I</w:t>
      </w:r>
      <w:r w:rsidR="00C436D7">
        <w:t xml:space="preserve">f you are new to the study of International Relations, I </w:t>
      </w:r>
      <w:r w:rsidR="00795DBB">
        <w:t xml:space="preserve">especially </w:t>
      </w:r>
      <w:r w:rsidR="00C436D7">
        <w:t>encourage you to read the pieces “Reading Theory” and “Reading History</w:t>
      </w:r>
      <w:r w:rsidR="00140EC2">
        <w:t>.</w:t>
      </w:r>
      <w:r w:rsidR="00C436D7">
        <w:t>”</w:t>
      </w:r>
    </w:p>
    <w:p w14:paraId="60DD1B0F" w14:textId="77777777" w:rsidR="00CC1DBE" w:rsidRDefault="00CC1DBE" w:rsidP="00C436D7">
      <w:pPr>
        <w:rPr>
          <w:b/>
        </w:rPr>
      </w:pPr>
    </w:p>
    <w:p w14:paraId="1D640836" w14:textId="77777777" w:rsidR="00937BB7" w:rsidRDefault="00937BB7" w:rsidP="00C436D7">
      <w:pPr>
        <w:rPr>
          <w:b/>
        </w:rPr>
      </w:pPr>
    </w:p>
    <w:p w14:paraId="219BB977" w14:textId="77777777" w:rsidR="00CC1DBE" w:rsidRPr="00CC1DBE" w:rsidRDefault="00CC1DBE" w:rsidP="00C436D7">
      <w:pPr>
        <w:rPr>
          <w:b/>
          <w:smallCaps/>
          <w:u w:val="single"/>
        </w:rPr>
      </w:pPr>
      <w:r w:rsidRPr="00CC1DBE">
        <w:rPr>
          <w:b/>
          <w:smallCaps/>
          <w:u w:val="single"/>
        </w:rPr>
        <w:t>Contact Information</w:t>
      </w:r>
    </w:p>
    <w:p w14:paraId="6E26C665" w14:textId="77777777" w:rsidR="00DC7B09" w:rsidRDefault="00CC1DBE" w:rsidP="00C436D7">
      <w:r w:rsidRPr="00CC1DBE">
        <w:t xml:space="preserve">Prof. Kuo’s </w:t>
      </w:r>
      <w:r w:rsidR="003A686B">
        <w:t xml:space="preserve">office is Faber 671.  He may be reached at </w:t>
      </w:r>
      <w:hyperlink r:id="rId9" w:history="1">
        <w:r w:rsidR="003A686B" w:rsidRPr="0082237D">
          <w:rPr>
            <w:rStyle w:val="Hyperlink"/>
          </w:rPr>
          <w:t>rkuo@fordham.edu</w:t>
        </w:r>
      </w:hyperlink>
      <w:r w:rsidR="003A686B">
        <w:t xml:space="preserve"> </w:t>
      </w:r>
      <w:r w:rsidR="00253E1A">
        <w:t xml:space="preserve">(preferred and more reliable) </w:t>
      </w:r>
      <w:r w:rsidR="003A686B">
        <w:t xml:space="preserve">or </w:t>
      </w:r>
      <w:r w:rsidR="00253E1A">
        <w:t xml:space="preserve">x3969.  His regular office hours are </w:t>
      </w:r>
      <w:r w:rsidR="00605240">
        <w:t>Mondays</w:t>
      </w:r>
      <w:r w:rsidR="00997973">
        <w:t xml:space="preserve">, </w:t>
      </w:r>
      <w:r w:rsidR="00605240">
        <w:t>1:30</w:t>
      </w:r>
      <w:r w:rsidR="00997973">
        <w:t>-</w:t>
      </w:r>
      <w:r w:rsidR="00605240">
        <w:t>3:00</w:t>
      </w:r>
      <w:r w:rsidR="00A24F9C">
        <w:t xml:space="preserve"> pm and by appointment.</w:t>
      </w:r>
      <w:r w:rsidR="00605240">
        <w:t xml:space="preserve">  He is also frequently available from 1:30-3:00 pm on Thursdays.</w:t>
      </w:r>
    </w:p>
    <w:p w14:paraId="60960B6C" w14:textId="77777777" w:rsidR="00DC7B09" w:rsidRDefault="00DC7B09" w:rsidP="00C436D7"/>
    <w:p w14:paraId="77411C73" w14:textId="77777777" w:rsidR="00DC7B09" w:rsidRDefault="00DC7B09" w:rsidP="00C436D7"/>
    <w:p w14:paraId="17ED6F66" w14:textId="77777777" w:rsidR="00DC7B09" w:rsidRPr="00CC1DBE" w:rsidRDefault="00DC7B09" w:rsidP="00DC7B09">
      <w:pPr>
        <w:rPr>
          <w:b/>
          <w:smallCaps/>
          <w:u w:val="single"/>
        </w:rPr>
      </w:pPr>
      <w:r>
        <w:rPr>
          <w:b/>
          <w:smallCaps/>
          <w:u w:val="single"/>
        </w:rPr>
        <w:t xml:space="preserve">Additional </w:t>
      </w:r>
      <w:r w:rsidRPr="00CC1DBE">
        <w:rPr>
          <w:b/>
          <w:smallCaps/>
          <w:u w:val="single"/>
        </w:rPr>
        <w:t>Information</w:t>
      </w:r>
    </w:p>
    <w:p w14:paraId="0AD76D35" w14:textId="77777777" w:rsidR="002A0138" w:rsidRDefault="00DC7B09" w:rsidP="00C436D7">
      <w:r>
        <w:t>I have posted a number of guidelines and materials on Blackboard.  In particular, please refer to the “Course Guidelines and Expectations” document for my general expectations regarding student conduct and decorum.  I have also posted guides on citation and formatting, which you should refer to before starting your papers.</w:t>
      </w:r>
    </w:p>
    <w:p w14:paraId="058532DE" w14:textId="77777777" w:rsidR="002A0138" w:rsidRDefault="002A0138" w:rsidP="00C436D7"/>
    <w:p w14:paraId="61FD335B" w14:textId="77777777" w:rsidR="002D22F1" w:rsidRDefault="00BD7D99" w:rsidP="00C436D7">
      <w:r>
        <w:t xml:space="preserve">Papers should be written in Microsoft Word or PDF and e-mailed to me </w:t>
      </w:r>
      <w:r w:rsidR="00396E13">
        <w:t xml:space="preserve">as an attachment </w:t>
      </w:r>
      <w:r>
        <w:t xml:space="preserve">at </w:t>
      </w:r>
      <w:hyperlink r:id="rId10" w:history="1">
        <w:r w:rsidRPr="00F33B9F">
          <w:rPr>
            <w:rStyle w:val="Hyperlink"/>
          </w:rPr>
          <w:t>rkuo@fordham.edu</w:t>
        </w:r>
      </w:hyperlink>
      <w:r>
        <w:t>.</w:t>
      </w:r>
      <w:r w:rsidR="005A4E73">
        <w:t xml:space="preserve">  Other formats (Pages, Google Docs) will not be accepted as they are not a standard, accept format in the majority of business or academic settings.</w:t>
      </w:r>
      <w:r w:rsidR="002D22F1">
        <w:t xml:space="preserve">  Please use the following convention for the document names:</w:t>
      </w:r>
    </w:p>
    <w:p w14:paraId="49A8198D" w14:textId="77777777" w:rsidR="002D22F1" w:rsidRDefault="002D22F1" w:rsidP="00C436D7"/>
    <w:p w14:paraId="50E91ADA" w14:textId="77777777" w:rsidR="00495270" w:rsidRPr="00CC1DBE" w:rsidRDefault="002D22F1" w:rsidP="002D22F1">
      <w:pPr>
        <w:ind w:firstLine="720"/>
      </w:pPr>
      <w:r>
        <w:t>“POSC 2501 (Assignment) Firstname Lastname”</w:t>
      </w:r>
      <w:r w:rsidR="00495270" w:rsidRPr="00CC1DBE">
        <w:br w:type="page"/>
      </w:r>
    </w:p>
    <w:p w14:paraId="19B7F4DD" w14:textId="77777777" w:rsidR="00495270" w:rsidRPr="00776DDE" w:rsidRDefault="00495270" w:rsidP="00495270">
      <w:pPr>
        <w:jc w:val="center"/>
        <w:rPr>
          <w:b/>
          <w:caps/>
          <w:u w:val="single"/>
        </w:rPr>
      </w:pPr>
      <w:r w:rsidRPr="00776DDE">
        <w:rPr>
          <w:b/>
          <w:caps/>
          <w:u w:val="single"/>
        </w:rPr>
        <w:lastRenderedPageBreak/>
        <w:t xml:space="preserve">Summary of Key </w:t>
      </w:r>
      <w:r w:rsidR="009B4D9D">
        <w:rPr>
          <w:b/>
          <w:caps/>
          <w:u w:val="single"/>
        </w:rPr>
        <w:t>responsibilities</w:t>
      </w:r>
      <w:r w:rsidRPr="00776DDE">
        <w:rPr>
          <w:b/>
          <w:caps/>
          <w:u w:val="single"/>
        </w:rPr>
        <w:t xml:space="preserve"> and Dates</w:t>
      </w:r>
    </w:p>
    <w:p w14:paraId="413989B1" w14:textId="77777777" w:rsidR="00C41205" w:rsidRDefault="00C41205"/>
    <w:p w14:paraId="5764291C" w14:textId="77777777" w:rsidR="00C70362" w:rsidRPr="00723697" w:rsidRDefault="00D33885" w:rsidP="00C70362">
      <w:pPr>
        <w:rPr>
          <w:i/>
        </w:rPr>
      </w:pPr>
      <w:r>
        <w:rPr>
          <w:i/>
        </w:rPr>
        <w:t xml:space="preserve">Attendance and </w:t>
      </w:r>
      <w:r w:rsidR="00C70362" w:rsidRPr="00723697">
        <w:rPr>
          <w:i/>
        </w:rPr>
        <w:t>Participation</w:t>
      </w:r>
    </w:p>
    <w:p w14:paraId="388A00E5" w14:textId="77777777" w:rsidR="00C70362" w:rsidRPr="00842F3A" w:rsidRDefault="00C70362" w:rsidP="00C70362">
      <w:pPr>
        <w:rPr>
          <w:sz w:val="12"/>
          <w:szCs w:val="12"/>
        </w:rPr>
      </w:pPr>
    </w:p>
    <w:p w14:paraId="21513659" w14:textId="77777777" w:rsidR="00C70362" w:rsidRDefault="00C70362" w:rsidP="00D33885">
      <w:pPr>
        <w:ind w:left="720"/>
      </w:pPr>
      <w:r w:rsidRPr="00723697">
        <w:t>Classes</w:t>
      </w:r>
      <w:r>
        <w:t xml:space="preserve"> will </w:t>
      </w:r>
      <w:r w:rsidR="00D33885">
        <w:t>be lecture-based.  However, I welcome and encourage questions, so feel free to interrupt me at any time if something isn’t clear or doesn’t make sense.</w:t>
      </w:r>
      <w:r w:rsidR="008E26F1">
        <w:t xml:space="preserve">  In add</w:t>
      </w:r>
      <w:r w:rsidR="0082428C">
        <w:t>ition, attendance will be taken and constitutes the majority of this portion of your grade.</w:t>
      </w:r>
    </w:p>
    <w:p w14:paraId="439EB00D" w14:textId="77777777" w:rsidR="00C70362" w:rsidRDefault="00C70362" w:rsidP="00C70362"/>
    <w:p w14:paraId="39D4B3A5" w14:textId="77777777" w:rsidR="00C70362" w:rsidRPr="00DF54D3" w:rsidRDefault="00C70362" w:rsidP="00C70362">
      <w:pPr>
        <w:tabs>
          <w:tab w:val="right" w:pos="9360"/>
        </w:tabs>
      </w:pPr>
      <w:r w:rsidRPr="00E2429C">
        <w:rPr>
          <w:i/>
        </w:rPr>
        <w:t>1</w:t>
      </w:r>
      <w:r w:rsidRPr="00E2429C">
        <w:rPr>
          <w:i/>
          <w:vertAlign w:val="superscript"/>
        </w:rPr>
        <w:t>st</w:t>
      </w:r>
      <w:r w:rsidRPr="00E2429C">
        <w:rPr>
          <w:i/>
        </w:rPr>
        <w:t xml:space="preserve"> Written Assignment</w:t>
      </w:r>
      <w:r>
        <w:rPr>
          <w:i/>
        </w:rPr>
        <w:t>:  Response Paper</w:t>
      </w:r>
      <w:r>
        <w:tab/>
      </w:r>
      <w:r w:rsidR="0041480B">
        <w:rPr>
          <w:i/>
        </w:rPr>
        <w:t>Student Choice</w:t>
      </w:r>
      <w:r w:rsidR="008923DE">
        <w:rPr>
          <w:i/>
        </w:rPr>
        <w:t xml:space="preserve">, but before </w:t>
      </w:r>
      <w:r w:rsidR="00E73F75">
        <w:rPr>
          <w:i/>
        </w:rPr>
        <w:t>Oct. 27</w:t>
      </w:r>
    </w:p>
    <w:p w14:paraId="2FFCA160" w14:textId="77777777" w:rsidR="00C70362" w:rsidRPr="00E2429C" w:rsidRDefault="00C70362" w:rsidP="00C70362">
      <w:pPr>
        <w:rPr>
          <w:sz w:val="12"/>
          <w:szCs w:val="12"/>
        </w:rPr>
      </w:pPr>
    </w:p>
    <w:p w14:paraId="09C7B0F3" w14:textId="77777777" w:rsidR="00AE63B7" w:rsidRDefault="00C70362" w:rsidP="00AE63B7">
      <w:pPr>
        <w:ind w:left="720"/>
      </w:pPr>
      <w:r>
        <w:t xml:space="preserve">Each </w:t>
      </w:r>
      <w:r w:rsidR="007C5AEB">
        <w:t xml:space="preserve">student </w:t>
      </w:r>
      <w:r w:rsidR="00EE3359">
        <w:t>will be responsible for a “r</w:t>
      </w:r>
      <w:r>
        <w:t xml:space="preserve">esponse </w:t>
      </w:r>
      <w:r w:rsidR="00EE3359">
        <w:t>p</w:t>
      </w:r>
      <w:r>
        <w:t xml:space="preserve">aper” </w:t>
      </w:r>
      <w:r w:rsidR="00AE63B7">
        <w:t>from on</w:t>
      </w:r>
      <w:r w:rsidR="00D33885">
        <w:t>e of the sessions before Oct. 27</w:t>
      </w:r>
      <w:r w:rsidR="00AE63B7">
        <w:t>.  This should be a deep analysis of the issues presented in 1-2</w:t>
      </w:r>
      <w:r w:rsidR="00DF55E4">
        <w:t xml:space="preserve"> (at minimum)</w:t>
      </w:r>
      <w:r w:rsidR="00AE63B7">
        <w:t xml:space="preserve"> readings</w:t>
      </w:r>
      <w:r w:rsidR="00EF3F72">
        <w:t xml:space="preserve"> </w:t>
      </w:r>
      <w:r w:rsidR="00EF3F72" w:rsidRPr="00665AEE">
        <w:rPr>
          <w:b/>
          <w:u w:val="single"/>
        </w:rPr>
        <w:t>from that session’s readings</w:t>
      </w:r>
      <w:r w:rsidR="00AE63B7">
        <w:t>,</w:t>
      </w:r>
      <w:r w:rsidR="00955295">
        <w:rPr>
          <w:rStyle w:val="FootnoteReference"/>
        </w:rPr>
        <w:footnoteReference w:id="1"/>
      </w:r>
      <w:r w:rsidR="00AE63B7">
        <w:t xml:space="preserve"> probing its main argument, whether it convinces you (and why or why not), whether it requires additional evidence, and/or other issues or problems you would like to </w:t>
      </w:r>
      <w:proofErr w:type="gramStart"/>
      <w:r w:rsidR="00AE63B7">
        <w:t>raise</w:t>
      </w:r>
      <w:proofErr w:type="gramEnd"/>
      <w:r w:rsidR="00AE63B7">
        <w:t>.  Alternatively, you can elucidate a broad theme found in several of the readings and critically assess how it applies theoretically and/or in terms of policy.</w:t>
      </w:r>
    </w:p>
    <w:p w14:paraId="4CDC2248" w14:textId="77777777" w:rsidR="00783CFF" w:rsidRDefault="00783CFF" w:rsidP="00C70362">
      <w:pPr>
        <w:ind w:left="720"/>
      </w:pPr>
    </w:p>
    <w:p w14:paraId="341C135A" w14:textId="77777777" w:rsidR="00C70362" w:rsidRDefault="00C70362" w:rsidP="00C70362">
      <w:pPr>
        <w:ind w:left="720"/>
      </w:pPr>
      <w:r>
        <w:t xml:space="preserve">The paper should be </w:t>
      </w:r>
      <w:r w:rsidRPr="00CB56EF">
        <w:rPr>
          <w:b/>
          <w:u w:val="single"/>
        </w:rPr>
        <w:t>no more than 750 words long</w:t>
      </w:r>
      <w:r w:rsidR="00BA11EF" w:rsidRPr="00850B5E">
        <w:t>,</w:t>
      </w:r>
      <w:r w:rsidR="007C5AEB" w:rsidRPr="00850B5E">
        <w:t xml:space="preserve"> </w:t>
      </w:r>
      <w:r w:rsidR="00BA11EF">
        <w:t xml:space="preserve">excluding </w:t>
      </w:r>
      <w:r w:rsidR="007C5AEB">
        <w:t>citations</w:t>
      </w:r>
      <w:r w:rsidR="00BA11EF">
        <w:t>.</w:t>
      </w:r>
      <w:r w:rsidR="00BA11EF">
        <w:rPr>
          <w:rStyle w:val="FootnoteReference"/>
        </w:rPr>
        <w:footnoteReference w:id="2"/>
      </w:r>
      <w:r w:rsidR="007C5AEB">
        <w:t xml:space="preserve">  </w:t>
      </w:r>
      <w:r w:rsidR="007C5AEB" w:rsidRPr="00927E92">
        <w:t xml:space="preserve">The completed assignment must be sent to </w:t>
      </w:r>
      <w:r w:rsidR="007C5AEB">
        <w:t xml:space="preserve">me </w:t>
      </w:r>
      <w:r w:rsidR="007C5AEB" w:rsidRPr="00927E92">
        <w:t>by e-mail attachment</w:t>
      </w:r>
      <w:r w:rsidR="007C5AEB">
        <w:t xml:space="preserve"> 24 hours prior to the lesson being covered.</w:t>
      </w:r>
      <w:r w:rsidR="00E61E38">
        <w:t xml:space="preserve">  In other </w:t>
      </w:r>
      <w:r w:rsidR="00864C69">
        <w:t>words, if you choose the March 4</w:t>
      </w:r>
      <w:r w:rsidR="00E61E38">
        <w:t xml:space="preserve"> se</w:t>
      </w:r>
      <w:r w:rsidR="00864C69">
        <w:t>ssion, your paper is due March 3</w:t>
      </w:r>
      <w:r w:rsidR="00E61E38">
        <w:t xml:space="preserve"> at 1</w:t>
      </w:r>
      <w:r w:rsidR="00875072">
        <w:t xml:space="preserve"> pm</w:t>
      </w:r>
      <w:r w:rsidR="00E61E38">
        <w:t>.</w:t>
      </w:r>
      <w:r w:rsidR="006A7B0B">
        <w:rPr>
          <w:rStyle w:val="FootnoteReference"/>
        </w:rPr>
        <w:footnoteReference w:id="3"/>
      </w:r>
    </w:p>
    <w:p w14:paraId="341F2C74" w14:textId="77777777" w:rsidR="00C70362" w:rsidRDefault="00C70362" w:rsidP="00C70362"/>
    <w:p w14:paraId="2AF91FEE" w14:textId="77777777" w:rsidR="00C70362" w:rsidRPr="009E1D06" w:rsidRDefault="00C70362" w:rsidP="009E17EE">
      <w:pPr>
        <w:tabs>
          <w:tab w:val="right" w:pos="9360"/>
        </w:tabs>
      </w:pPr>
      <w:r>
        <w:rPr>
          <w:i/>
        </w:rPr>
        <w:t xml:space="preserve"> Mid-Term</w:t>
      </w:r>
      <w:r w:rsidR="009E17EE">
        <w:t xml:space="preserve">:  In class.  </w:t>
      </w:r>
      <w:r w:rsidR="00CC1340">
        <w:t xml:space="preserve">There will be a review session </w:t>
      </w:r>
      <w:r w:rsidR="00510FAC">
        <w:t>Oct. 13</w:t>
      </w:r>
      <w:r w:rsidR="00545DE9">
        <w:t>.</w:t>
      </w:r>
      <w:r w:rsidR="009E17EE">
        <w:tab/>
        <w:t>Oct. 17</w:t>
      </w:r>
    </w:p>
    <w:p w14:paraId="324AB35F" w14:textId="77777777" w:rsidR="00C70362" w:rsidRDefault="00C70362" w:rsidP="00C70362"/>
    <w:p w14:paraId="76D0090B" w14:textId="77777777" w:rsidR="00C70362" w:rsidRPr="001E0BBB" w:rsidRDefault="00C70362" w:rsidP="00C70362">
      <w:pPr>
        <w:tabs>
          <w:tab w:val="right" w:pos="9360"/>
        </w:tabs>
        <w:rPr>
          <w:i/>
        </w:rPr>
      </w:pPr>
      <w:r w:rsidRPr="001E0BBB">
        <w:rPr>
          <w:i/>
        </w:rPr>
        <w:t>2</w:t>
      </w:r>
      <w:r w:rsidRPr="001E0BBB">
        <w:rPr>
          <w:i/>
          <w:vertAlign w:val="superscript"/>
        </w:rPr>
        <w:t>nd</w:t>
      </w:r>
      <w:r w:rsidRPr="001E0BBB">
        <w:rPr>
          <w:i/>
        </w:rPr>
        <w:t xml:space="preserve"> Written Assignment</w:t>
      </w:r>
      <w:r>
        <w:rPr>
          <w:i/>
        </w:rPr>
        <w:t>:  Policy Memo/Op-Ed</w:t>
      </w:r>
      <w:r>
        <w:rPr>
          <w:i/>
        </w:rPr>
        <w:tab/>
        <w:t xml:space="preserve">Due </w:t>
      </w:r>
      <w:r w:rsidR="00844A01">
        <w:rPr>
          <w:i/>
        </w:rPr>
        <w:t>Dec. 5</w:t>
      </w:r>
    </w:p>
    <w:p w14:paraId="25F7DA6B" w14:textId="77777777" w:rsidR="00C70362" w:rsidRDefault="00C70362" w:rsidP="00C70362">
      <w:pPr>
        <w:ind w:left="720"/>
      </w:pPr>
    </w:p>
    <w:p w14:paraId="3082F23F" w14:textId="77777777" w:rsidR="00A72A2E" w:rsidRDefault="00C70362" w:rsidP="00C70362">
      <w:pPr>
        <w:ind w:left="720"/>
      </w:pPr>
      <w:r w:rsidRPr="00927E92">
        <w:t xml:space="preserve">Each student will be responsible for completing </w:t>
      </w:r>
      <w:r w:rsidRPr="00927E92">
        <w:rPr>
          <w:i/>
        </w:rPr>
        <w:t xml:space="preserve">either </w:t>
      </w:r>
      <w:r w:rsidRPr="00927E92">
        <w:t xml:space="preserve">a policy memo </w:t>
      </w:r>
      <w:r w:rsidRPr="00927E92">
        <w:rPr>
          <w:i/>
        </w:rPr>
        <w:t xml:space="preserve">or </w:t>
      </w:r>
      <w:r w:rsidRPr="00927E92">
        <w:t xml:space="preserve">an op-ed piece in response to a contemporary issue that arises in regard to one of the topics discussed </w:t>
      </w:r>
      <w:r>
        <w:t xml:space="preserve">in the classes after </w:t>
      </w:r>
      <w:r w:rsidR="00707AA3">
        <w:t>Oct. 24</w:t>
      </w:r>
      <w:r>
        <w:t xml:space="preserve">.  </w:t>
      </w:r>
      <w:r w:rsidRPr="00927E92">
        <w:t xml:space="preserve">The policy memo must recommend a policy with regard to the issue for a decision-maker within a national government, a leading NGO, or a private corporation active in that area. </w:t>
      </w:r>
      <w:r>
        <w:t xml:space="preserve"> </w:t>
      </w:r>
      <w:r w:rsidRPr="00927E92">
        <w:t xml:space="preserve">Please be sure to specify to whom the memo is addressed. </w:t>
      </w:r>
      <w:r>
        <w:t xml:space="preserve"> </w:t>
      </w:r>
      <w:r w:rsidRPr="00927E92">
        <w:t xml:space="preserve">The op-ed must address a contemporary issue in a timely, journalistic fashion and should be aimed, directly or indirectly, at influencing public and elite opinion about policy. </w:t>
      </w:r>
      <w:r>
        <w:t xml:space="preserve"> </w:t>
      </w:r>
      <w:r w:rsidRPr="00927E92">
        <w:t xml:space="preserve">For </w:t>
      </w:r>
      <w:r w:rsidRPr="00927E92">
        <w:lastRenderedPageBreak/>
        <w:t>more information, see the course handouts on writing a po</w:t>
      </w:r>
      <w:r w:rsidR="00A72A2E">
        <w:t>licy memo and writing an op-ed.</w:t>
      </w:r>
    </w:p>
    <w:p w14:paraId="2A941748" w14:textId="77777777" w:rsidR="00A72A2E" w:rsidRDefault="00A72A2E" w:rsidP="00C70362">
      <w:pPr>
        <w:ind w:left="720"/>
      </w:pPr>
    </w:p>
    <w:p w14:paraId="0E4DE812" w14:textId="77777777" w:rsidR="00C70362" w:rsidRDefault="00C70362" w:rsidP="00C70362">
      <w:pPr>
        <w:ind w:left="720"/>
      </w:pPr>
      <w:r w:rsidRPr="00927E92">
        <w:t xml:space="preserve">These should be </w:t>
      </w:r>
      <w:r w:rsidRPr="004454BE">
        <w:rPr>
          <w:b/>
          <w:u w:val="single"/>
        </w:rPr>
        <w:t>no more than 750 words long</w:t>
      </w:r>
      <w:r w:rsidRPr="00927E92">
        <w:t>, without citations.</w:t>
      </w:r>
      <w:r w:rsidR="00A72A2E">
        <w:rPr>
          <w:rStyle w:val="FootnoteReference"/>
        </w:rPr>
        <w:footnoteReference w:id="4"/>
      </w:r>
      <w:r w:rsidR="00A72A2E">
        <w:t xml:space="preserve"> </w:t>
      </w:r>
      <w:r>
        <w:t xml:space="preserve"> </w:t>
      </w:r>
      <w:r w:rsidRPr="00927E92">
        <w:t xml:space="preserve">The completed assignment must be sent to </w:t>
      </w:r>
      <w:r>
        <w:t xml:space="preserve">me </w:t>
      </w:r>
      <w:r w:rsidRPr="00927E92">
        <w:t xml:space="preserve">by e-mail attachment </w:t>
      </w:r>
      <w:r w:rsidR="000113CD">
        <w:t xml:space="preserve">on the deadline date </w:t>
      </w:r>
      <w:r>
        <w:t>by 5 pm</w:t>
      </w:r>
      <w:r w:rsidRPr="00927E92">
        <w:t xml:space="preserve">. </w:t>
      </w:r>
      <w:r>
        <w:t xml:space="preserve"> </w:t>
      </w:r>
      <w:r w:rsidRPr="00927E92">
        <w:t xml:space="preserve">Late submissions will be graded down. </w:t>
      </w:r>
      <w:r>
        <w:t xml:space="preserve"> </w:t>
      </w:r>
      <w:r w:rsidRPr="00927E92">
        <w:t>As in the worlds of policy and journalism, technical difficulties are the responsibility of the writer.</w:t>
      </w:r>
    </w:p>
    <w:p w14:paraId="5DCCB5E1" w14:textId="77777777" w:rsidR="00C70362" w:rsidRDefault="00C70362" w:rsidP="00C70362"/>
    <w:p w14:paraId="116A738D" w14:textId="77777777" w:rsidR="00841A4E" w:rsidRDefault="00C70362" w:rsidP="00C70362">
      <w:r w:rsidRPr="009E1D06">
        <w:rPr>
          <w:i/>
        </w:rPr>
        <w:t>Final Exam</w:t>
      </w:r>
      <w:r>
        <w:t xml:space="preserve">:  </w:t>
      </w:r>
    </w:p>
    <w:p w14:paraId="3BDF9089" w14:textId="77777777" w:rsidR="00841A4E" w:rsidRDefault="00841A4E" w:rsidP="00841A4E">
      <w:pPr>
        <w:ind w:firstLine="720"/>
      </w:pPr>
    </w:p>
    <w:p w14:paraId="0AB8A6F9" w14:textId="77777777" w:rsidR="00C70362" w:rsidRDefault="00841A4E" w:rsidP="006E04B7">
      <w:pPr>
        <w:ind w:left="720"/>
      </w:pPr>
      <w:r>
        <w:t>Take home exam, open book, open notes</w:t>
      </w:r>
      <w:r w:rsidR="00B366DB">
        <w:t xml:space="preserve">, typed, 12 pt </w:t>
      </w:r>
      <w:proofErr w:type="gramStart"/>
      <w:r w:rsidR="00B366DB">
        <w:t>font</w:t>
      </w:r>
      <w:proofErr w:type="gramEnd"/>
      <w:r w:rsidR="00B366DB">
        <w:t>, double spaced, Times New Roman, with page limit</w:t>
      </w:r>
      <w:r>
        <w:t xml:space="preserve">.  Only sources used directly in class allowed, </w:t>
      </w:r>
      <w:r w:rsidR="006E04B7">
        <w:t>full citations required</w:t>
      </w:r>
      <w:r w:rsidR="00B366DB">
        <w:t xml:space="preserve">.  You will have 24 hours to complete the exam and must e-mail it to me at </w:t>
      </w:r>
      <w:hyperlink r:id="rId11" w:history="1">
        <w:r w:rsidR="00B366DB" w:rsidRPr="007F41CF">
          <w:rPr>
            <w:rStyle w:val="Hyperlink"/>
          </w:rPr>
          <w:t>rkuo@fordham.edu</w:t>
        </w:r>
      </w:hyperlink>
      <w:r w:rsidR="0027213B">
        <w:t xml:space="preserve"> using the filename guideline above.</w:t>
      </w:r>
    </w:p>
    <w:p w14:paraId="68EA51B5" w14:textId="77777777" w:rsidR="00C70362" w:rsidRDefault="00C70362" w:rsidP="00C70362"/>
    <w:p w14:paraId="004D6FE3" w14:textId="77777777" w:rsidR="00C70362" w:rsidRDefault="00C70362" w:rsidP="00C70362">
      <w:r>
        <w:t>The weighting of each assignment is as follows:</w:t>
      </w:r>
    </w:p>
    <w:p w14:paraId="35CA16DB" w14:textId="77777777" w:rsidR="00C70362" w:rsidRDefault="00C70362" w:rsidP="00C70362"/>
    <w:p w14:paraId="24DB9CAA" w14:textId="77777777" w:rsidR="00C70362" w:rsidRDefault="00C70362" w:rsidP="00C70362">
      <w:pPr>
        <w:pStyle w:val="ListParagraph"/>
        <w:numPr>
          <w:ilvl w:val="0"/>
          <w:numId w:val="2"/>
        </w:numPr>
      </w:pPr>
      <w:r>
        <w:rPr>
          <w:i/>
        </w:rPr>
        <w:t>Response Paper</w:t>
      </w:r>
      <w:r w:rsidRPr="009E1D06">
        <w:t>:</w:t>
      </w:r>
      <w:r>
        <w:rPr>
          <w:i/>
        </w:rPr>
        <w:t xml:space="preserve">  </w:t>
      </w:r>
      <w:r w:rsidR="00103808">
        <w:rPr>
          <w:i/>
        </w:rPr>
        <w:t>20</w:t>
      </w:r>
      <w:r>
        <w:t>%</w:t>
      </w:r>
    </w:p>
    <w:p w14:paraId="1815E41A" w14:textId="77777777" w:rsidR="00C70362" w:rsidRDefault="00C70362" w:rsidP="00C70362">
      <w:pPr>
        <w:pStyle w:val="ListParagraph"/>
        <w:numPr>
          <w:ilvl w:val="0"/>
          <w:numId w:val="2"/>
        </w:numPr>
      </w:pPr>
      <w:r>
        <w:rPr>
          <w:i/>
        </w:rPr>
        <w:t>Policy Memo/Op-Ed</w:t>
      </w:r>
      <w:r>
        <w:t>:  20%</w:t>
      </w:r>
    </w:p>
    <w:p w14:paraId="1ADC71B8" w14:textId="77777777" w:rsidR="00C70362" w:rsidRDefault="00C70362" w:rsidP="00C70362">
      <w:pPr>
        <w:pStyle w:val="ListParagraph"/>
        <w:numPr>
          <w:ilvl w:val="0"/>
          <w:numId w:val="2"/>
        </w:numPr>
      </w:pPr>
      <w:r w:rsidRPr="008944B9">
        <w:rPr>
          <w:i/>
        </w:rPr>
        <w:t>Mid-term Exam</w:t>
      </w:r>
      <w:r>
        <w:t>:  2</w:t>
      </w:r>
      <w:r w:rsidR="00103808">
        <w:t>5</w:t>
      </w:r>
      <w:r>
        <w:t>%</w:t>
      </w:r>
    </w:p>
    <w:p w14:paraId="16036322" w14:textId="77777777" w:rsidR="00C70362" w:rsidRDefault="00C70362" w:rsidP="00C70362">
      <w:pPr>
        <w:pStyle w:val="ListParagraph"/>
        <w:numPr>
          <w:ilvl w:val="0"/>
          <w:numId w:val="2"/>
        </w:numPr>
      </w:pPr>
      <w:r w:rsidRPr="008944B9">
        <w:rPr>
          <w:i/>
        </w:rPr>
        <w:t>Final Exam</w:t>
      </w:r>
      <w:r>
        <w:t>:  2</w:t>
      </w:r>
      <w:r w:rsidR="00103808">
        <w:t>5</w:t>
      </w:r>
      <w:r>
        <w:t>%</w:t>
      </w:r>
    </w:p>
    <w:p w14:paraId="1AFEC72D" w14:textId="77777777" w:rsidR="00C70362" w:rsidRDefault="00C70362" w:rsidP="00C70362">
      <w:pPr>
        <w:pStyle w:val="ListParagraph"/>
        <w:numPr>
          <w:ilvl w:val="0"/>
          <w:numId w:val="2"/>
        </w:numPr>
      </w:pPr>
      <w:r w:rsidRPr="008944B9">
        <w:rPr>
          <w:i/>
        </w:rPr>
        <w:t>Participation</w:t>
      </w:r>
      <w:r w:rsidRPr="009E1D06">
        <w:t>:</w:t>
      </w:r>
      <w:r w:rsidR="00103808">
        <w:t xml:space="preserve">  1</w:t>
      </w:r>
      <w:r>
        <w:t>0%</w:t>
      </w:r>
    </w:p>
    <w:p w14:paraId="3B2BC930" w14:textId="77777777" w:rsidR="00651887" w:rsidRDefault="00651887" w:rsidP="00C70362"/>
    <w:p w14:paraId="19D206FD" w14:textId="77777777" w:rsidR="00A72A2E" w:rsidRDefault="00A72A2E">
      <w:pPr>
        <w:rPr>
          <w:b/>
          <w:caps/>
          <w:u w:val="single"/>
        </w:rPr>
      </w:pPr>
      <w:r>
        <w:rPr>
          <w:b/>
          <w:caps/>
          <w:u w:val="single"/>
        </w:rPr>
        <w:br w:type="page"/>
      </w:r>
    </w:p>
    <w:p w14:paraId="2962D581" w14:textId="77777777" w:rsidR="00495270" w:rsidRPr="006C6F32" w:rsidRDefault="006C6F32" w:rsidP="006C6F32">
      <w:pPr>
        <w:jc w:val="center"/>
        <w:rPr>
          <w:b/>
          <w:caps/>
          <w:u w:val="single"/>
        </w:rPr>
      </w:pPr>
      <w:r w:rsidRPr="006C6F32">
        <w:rPr>
          <w:b/>
          <w:caps/>
          <w:u w:val="single"/>
        </w:rPr>
        <w:lastRenderedPageBreak/>
        <w:t>Schedule of Topics and Readings</w:t>
      </w:r>
    </w:p>
    <w:p w14:paraId="4FA5752D" w14:textId="77777777" w:rsidR="006C6F32" w:rsidRDefault="006C6F32"/>
    <w:p w14:paraId="198D2BD9" w14:textId="77777777" w:rsidR="00CC3FFD" w:rsidRDefault="00CC3FFD">
      <w:r w:rsidRPr="00CC3FFD">
        <w:rPr>
          <w:i/>
        </w:rPr>
        <w:t>NOTE</w:t>
      </w:r>
      <w:r>
        <w:t xml:space="preserve">:  If you cannot locate a reading, please check Blackboard and Ares.  If you still have trouble locating it, Fordham’s library provides electronic access to many academic and policy journals.  </w:t>
      </w:r>
      <w:r w:rsidR="00FC01CD">
        <w:t xml:space="preserve">If that is the case, please </w:t>
      </w:r>
      <w:r>
        <w:t xml:space="preserve">send me </w:t>
      </w:r>
      <w:proofErr w:type="gramStart"/>
      <w:r>
        <w:t>an e</w:t>
      </w:r>
      <w:proofErr w:type="gramEnd"/>
      <w:r>
        <w:t xml:space="preserve">-mail </w:t>
      </w:r>
      <w:r w:rsidR="00FC01CD">
        <w:t>so I can let the rest of the class know.</w:t>
      </w:r>
    </w:p>
    <w:p w14:paraId="57D7D7E8" w14:textId="77777777" w:rsidR="00CC3FFD" w:rsidRDefault="00CC3FFD"/>
    <w:p w14:paraId="0E82C257" w14:textId="77777777" w:rsidR="00CC3FFD" w:rsidRDefault="00CC3FFD"/>
    <w:p w14:paraId="49663C07" w14:textId="77777777" w:rsidR="00E279E3" w:rsidRDefault="00884A0F" w:rsidP="00E279E3">
      <w:pPr>
        <w:tabs>
          <w:tab w:val="left" w:pos="1440"/>
        </w:tabs>
      </w:pPr>
      <w:r>
        <w:rPr>
          <w:i/>
        </w:rPr>
        <w:t>Sept. 1</w:t>
      </w:r>
      <w:r w:rsidR="00E279E3">
        <w:tab/>
      </w:r>
      <w:r w:rsidR="00E279E3" w:rsidRPr="00776DDE">
        <w:rPr>
          <w:b/>
          <w:smallCaps/>
        </w:rPr>
        <w:t>Course introduction/overview</w:t>
      </w:r>
    </w:p>
    <w:p w14:paraId="7219A9C3" w14:textId="77777777" w:rsidR="0004579B" w:rsidRDefault="0004579B" w:rsidP="0004579B">
      <w:pPr>
        <w:tabs>
          <w:tab w:val="left" w:pos="1440"/>
        </w:tabs>
        <w:rPr>
          <w:i/>
        </w:rPr>
      </w:pPr>
    </w:p>
    <w:p w14:paraId="5D929A25" w14:textId="77777777" w:rsidR="0004579B" w:rsidRDefault="0004579B" w:rsidP="0004579B">
      <w:pPr>
        <w:pStyle w:val="ListParagraph"/>
        <w:numPr>
          <w:ilvl w:val="0"/>
          <w:numId w:val="37"/>
        </w:numPr>
        <w:tabs>
          <w:tab w:val="left" w:pos="1440"/>
        </w:tabs>
      </w:pPr>
      <w:r w:rsidRPr="0004579B">
        <w:rPr>
          <w:i/>
        </w:rPr>
        <w:t>In-Class Simulation</w:t>
      </w:r>
      <w:r w:rsidRPr="0004579B">
        <w:t>:  The Oil Market Game (a preview of my negotiations course).  Also, come to class ready to discuss the following questions:</w:t>
      </w:r>
    </w:p>
    <w:p w14:paraId="5C306477" w14:textId="77777777" w:rsidR="00C231E5" w:rsidRDefault="00C231E5" w:rsidP="0004579B">
      <w:pPr>
        <w:pStyle w:val="ListParagraph"/>
        <w:numPr>
          <w:ilvl w:val="1"/>
          <w:numId w:val="37"/>
        </w:numPr>
        <w:tabs>
          <w:tab w:val="left" w:pos="1440"/>
        </w:tabs>
      </w:pPr>
      <w:r>
        <w:t>What is rationality?</w:t>
      </w:r>
    </w:p>
    <w:p w14:paraId="478B2011" w14:textId="77777777" w:rsidR="0004579B" w:rsidRDefault="0004579B" w:rsidP="0004579B">
      <w:pPr>
        <w:pStyle w:val="ListParagraph"/>
        <w:numPr>
          <w:ilvl w:val="1"/>
          <w:numId w:val="37"/>
        </w:numPr>
        <w:tabs>
          <w:tab w:val="left" w:pos="1440"/>
        </w:tabs>
      </w:pPr>
      <w:r w:rsidRPr="0004579B">
        <w:t>Do we behave rationall</w:t>
      </w:r>
      <w:r w:rsidR="00C231E5">
        <w:t xml:space="preserve">y?  </w:t>
      </w:r>
      <w:r w:rsidR="00DD3117">
        <w:t>When/under what conditions?</w:t>
      </w:r>
    </w:p>
    <w:p w14:paraId="3F5A092A" w14:textId="77777777" w:rsidR="00C231E5" w:rsidRPr="0004579B" w:rsidRDefault="00C231E5" w:rsidP="0004579B">
      <w:pPr>
        <w:pStyle w:val="ListParagraph"/>
        <w:numPr>
          <w:ilvl w:val="1"/>
          <w:numId w:val="37"/>
        </w:numPr>
        <w:tabs>
          <w:tab w:val="left" w:pos="1440"/>
        </w:tabs>
      </w:pPr>
      <w:r>
        <w:t xml:space="preserve">Can we </w:t>
      </w:r>
      <w:r w:rsidRPr="00C231E5">
        <w:rPr>
          <w:i/>
          <w:u w:val="single"/>
        </w:rPr>
        <w:t>assume</w:t>
      </w:r>
      <w:r w:rsidRPr="00C231E5">
        <w:t xml:space="preserve"> </w:t>
      </w:r>
      <w:r>
        <w:t>rationality</w:t>
      </w:r>
      <w:r w:rsidR="004320E3">
        <w:t xml:space="preserve"> in international behavior</w:t>
      </w:r>
      <w:r>
        <w:t>?</w:t>
      </w:r>
    </w:p>
    <w:p w14:paraId="7C1E53B1" w14:textId="77777777" w:rsidR="00E279E3" w:rsidRDefault="00E279E3" w:rsidP="00E279E3">
      <w:pPr>
        <w:tabs>
          <w:tab w:val="left" w:pos="1440"/>
        </w:tabs>
      </w:pPr>
    </w:p>
    <w:p w14:paraId="327D996C" w14:textId="77777777" w:rsidR="0004579B" w:rsidRDefault="0004579B" w:rsidP="00E279E3">
      <w:pPr>
        <w:tabs>
          <w:tab w:val="left" w:pos="1440"/>
        </w:tabs>
      </w:pPr>
    </w:p>
    <w:p w14:paraId="1773A246" w14:textId="77777777" w:rsidR="00E279E3" w:rsidRPr="00776DDE" w:rsidRDefault="00884A0F" w:rsidP="00E279E3">
      <w:pPr>
        <w:tabs>
          <w:tab w:val="left" w:pos="1440"/>
        </w:tabs>
        <w:rPr>
          <w:b/>
          <w:smallCaps/>
        </w:rPr>
      </w:pPr>
      <w:r>
        <w:rPr>
          <w:i/>
        </w:rPr>
        <w:t>Sept. 8</w:t>
      </w:r>
      <w:r w:rsidR="00E279E3" w:rsidRPr="00463D7A">
        <w:rPr>
          <w:i/>
        </w:rPr>
        <w:tab/>
      </w:r>
      <w:r w:rsidR="00E279E3" w:rsidRPr="00776DDE">
        <w:rPr>
          <w:b/>
          <w:smallCaps/>
        </w:rPr>
        <w:t>Realism</w:t>
      </w:r>
      <w:r w:rsidR="00E279E3" w:rsidRPr="00776DDE">
        <w:rPr>
          <w:i/>
          <w:smallCaps/>
        </w:rPr>
        <w:t xml:space="preserve"> </w:t>
      </w:r>
      <w:r w:rsidR="00E279E3" w:rsidRPr="00776DDE">
        <w:rPr>
          <w:b/>
          <w:smallCaps/>
        </w:rPr>
        <w:t>and the First 10,000 Years:  Why Does War Occur?</w:t>
      </w:r>
    </w:p>
    <w:p w14:paraId="4A250955" w14:textId="77777777" w:rsidR="00E279E3" w:rsidRPr="00776DDE" w:rsidRDefault="00E279E3" w:rsidP="00E279E3">
      <w:pPr>
        <w:tabs>
          <w:tab w:val="left" w:pos="1440"/>
        </w:tabs>
        <w:ind w:left="720"/>
        <w:rPr>
          <w:smallCaps/>
          <w:sz w:val="12"/>
          <w:szCs w:val="12"/>
        </w:rPr>
      </w:pPr>
    </w:p>
    <w:p w14:paraId="09E3DAAC" w14:textId="77777777" w:rsidR="00E279E3" w:rsidRPr="00BC0AF7" w:rsidRDefault="00E279E3" w:rsidP="00E279E3">
      <w:pPr>
        <w:pStyle w:val="ListParagraph"/>
        <w:numPr>
          <w:ilvl w:val="0"/>
          <w:numId w:val="8"/>
        </w:numPr>
        <w:ind w:left="720"/>
      </w:pPr>
      <w:r w:rsidRPr="00BC0AF7">
        <w:t xml:space="preserve">Jared Diamond, </w:t>
      </w:r>
      <w:r w:rsidRPr="008C2161">
        <w:rPr>
          <w:i/>
        </w:rPr>
        <w:t>Guns, Germs and Steel: The Fates of Human Societies,</w:t>
      </w:r>
      <w:r w:rsidRPr="00BC0AF7">
        <w:t xml:space="preserve"> pp. 67-81, </w:t>
      </w:r>
      <w:proofErr w:type="gramStart"/>
      <w:r w:rsidRPr="00BC0AF7">
        <w:t>85</w:t>
      </w:r>
      <w:proofErr w:type="gramEnd"/>
      <w:r w:rsidRPr="00BC0AF7">
        <w:t>-92.</w:t>
      </w:r>
    </w:p>
    <w:p w14:paraId="0548B554" w14:textId="77777777" w:rsidR="00E279E3" w:rsidRPr="00BC0AF7" w:rsidRDefault="00E279E3" w:rsidP="00E279E3">
      <w:pPr>
        <w:pStyle w:val="ListParagraph"/>
        <w:numPr>
          <w:ilvl w:val="0"/>
          <w:numId w:val="8"/>
        </w:numPr>
        <w:ind w:left="720"/>
      </w:pPr>
      <w:r w:rsidRPr="00BC0AF7">
        <w:t>Hans Morgenthau, “Six Principles of Political Realism.” In Art and Jervis, pp. 7-14.</w:t>
      </w:r>
    </w:p>
    <w:p w14:paraId="51611DDF" w14:textId="77777777" w:rsidR="00E279E3" w:rsidRPr="00BC0AF7" w:rsidRDefault="00E279E3" w:rsidP="00E279E3">
      <w:pPr>
        <w:pStyle w:val="ListParagraph"/>
        <w:numPr>
          <w:ilvl w:val="0"/>
          <w:numId w:val="8"/>
        </w:numPr>
        <w:ind w:left="720"/>
      </w:pPr>
      <w:r w:rsidRPr="00BC0AF7">
        <w:t>Kenneth Waltz, “The Anarchic Structure of World Politics.” In Art and Jervis, pp. 29-49.</w:t>
      </w:r>
    </w:p>
    <w:p w14:paraId="15C3E35C" w14:textId="77777777" w:rsidR="00E279E3" w:rsidRDefault="00E279E3" w:rsidP="00E279E3">
      <w:pPr>
        <w:tabs>
          <w:tab w:val="left" w:pos="1440"/>
        </w:tabs>
      </w:pPr>
    </w:p>
    <w:p w14:paraId="16F5F0C1" w14:textId="77777777" w:rsidR="009510E5" w:rsidRDefault="009510E5" w:rsidP="00E279E3">
      <w:pPr>
        <w:tabs>
          <w:tab w:val="left" w:pos="1440"/>
        </w:tabs>
      </w:pPr>
    </w:p>
    <w:p w14:paraId="7421D5A8" w14:textId="77777777" w:rsidR="00E279E3" w:rsidRPr="00BA3BFA" w:rsidRDefault="00884A0F" w:rsidP="00E279E3">
      <w:pPr>
        <w:tabs>
          <w:tab w:val="left" w:pos="1440"/>
        </w:tabs>
        <w:ind w:left="1440" w:hanging="1440"/>
        <w:rPr>
          <w:smallCaps/>
        </w:rPr>
      </w:pPr>
      <w:r>
        <w:rPr>
          <w:i/>
        </w:rPr>
        <w:t>Sept. 12</w:t>
      </w:r>
      <w:r w:rsidR="00E279E3">
        <w:tab/>
      </w:r>
      <w:r w:rsidR="00E279E3" w:rsidRPr="00BA3BFA">
        <w:rPr>
          <w:b/>
          <w:smallCaps/>
        </w:rPr>
        <w:t>Ancient Statecraft and the Peloponnesian War:  Do State</w:t>
      </w:r>
      <w:r w:rsidR="00E279E3">
        <w:rPr>
          <w:b/>
          <w:smallCaps/>
        </w:rPr>
        <w:t>s</w:t>
      </w:r>
      <w:r w:rsidR="00E279E3" w:rsidRPr="00BA3BFA">
        <w:rPr>
          <w:b/>
          <w:smallCaps/>
        </w:rPr>
        <w:t xml:space="preserve"> Bargain Rationally?</w:t>
      </w:r>
    </w:p>
    <w:p w14:paraId="510E7B0D" w14:textId="77777777" w:rsidR="00E279E3" w:rsidRPr="009661BD" w:rsidRDefault="00E279E3" w:rsidP="00E279E3">
      <w:pPr>
        <w:tabs>
          <w:tab w:val="left" w:pos="1440"/>
        </w:tabs>
        <w:rPr>
          <w:sz w:val="12"/>
          <w:szCs w:val="12"/>
        </w:rPr>
      </w:pPr>
    </w:p>
    <w:p w14:paraId="339386A7" w14:textId="77777777" w:rsidR="00E279E3" w:rsidRPr="009661BD" w:rsidRDefault="00E279E3" w:rsidP="00E279E3">
      <w:pPr>
        <w:pStyle w:val="ListParagraph"/>
        <w:numPr>
          <w:ilvl w:val="0"/>
          <w:numId w:val="9"/>
        </w:numPr>
        <w:ind w:left="720"/>
      </w:pPr>
      <w:r w:rsidRPr="009661BD">
        <w:t xml:space="preserve">Thucydides, </w:t>
      </w:r>
      <w:r w:rsidRPr="008C2161">
        <w:rPr>
          <w:i/>
        </w:rPr>
        <w:t xml:space="preserve">The Peloponnesian War, </w:t>
      </w:r>
      <w:r>
        <w:t>selections. (40 pp. illustrated t</w:t>
      </w:r>
      <w:r w:rsidRPr="009661BD">
        <w:t>ypescript)</w:t>
      </w:r>
    </w:p>
    <w:p w14:paraId="3DA181D8" w14:textId="77777777" w:rsidR="00E279E3" w:rsidRPr="009661BD" w:rsidRDefault="00E279E3" w:rsidP="00E279E3">
      <w:pPr>
        <w:pStyle w:val="ListParagraph"/>
        <w:numPr>
          <w:ilvl w:val="0"/>
          <w:numId w:val="9"/>
        </w:numPr>
        <w:ind w:left="720"/>
      </w:pPr>
      <w:r w:rsidRPr="009661BD">
        <w:t xml:space="preserve">Dani Reiter, “Exploring the Bargaining Model of War,” </w:t>
      </w:r>
      <w:r w:rsidRPr="008C2161">
        <w:rPr>
          <w:i/>
        </w:rPr>
        <w:t xml:space="preserve">Perspectives on Politics </w:t>
      </w:r>
      <w:r>
        <w:t>(March 2003), pp. 27-30.</w:t>
      </w:r>
    </w:p>
    <w:p w14:paraId="77FF18C0" w14:textId="77777777" w:rsidR="00E279E3" w:rsidRPr="009F710A" w:rsidRDefault="00E279E3" w:rsidP="00E279E3">
      <w:pPr>
        <w:pStyle w:val="ListParagraph"/>
        <w:numPr>
          <w:ilvl w:val="0"/>
          <w:numId w:val="9"/>
        </w:numPr>
        <w:ind w:left="720"/>
      </w:pPr>
      <w:r w:rsidRPr="009F710A">
        <w:t xml:space="preserve">John T. Rourke, “Foreign Policy,” in Rourke, </w:t>
      </w:r>
      <w:r w:rsidRPr="009F710A">
        <w:rPr>
          <w:i/>
        </w:rPr>
        <w:t xml:space="preserve">International Relations on the World Stage </w:t>
      </w:r>
      <w:r w:rsidRPr="009F710A">
        <w:t>11</w:t>
      </w:r>
      <w:r w:rsidRPr="009F710A">
        <w:rPr>
          <w:vertAlign w:val="superscript"/>
        </w:rPr>
        <w:t>th</w:t>
      </w:r>
      <w:r w:rsidRPr="009F710A">
        <w:t xml:space="preserve"> edition</w:t>
      </w:r>
      <w:r w:rsidRPr="009F710A">
        <w:rPr>
          <w:i/>
        </w:rPr>
        <w:t xml:space="preserve"> </w:t>
      </w:r>
      <w:r w:rsidRPr="009F710A">
        <w:t>(McGraw-Hill, 2007), selections. (14 pp.)</w:t>
      </w:r>
    </w:p>
    <w:p w14:paraId="1065836D" w14:textId="77777777" w:rsidR="00E279E3" w:rsidRDefault="00E279E3" w:rsidP="00E279E3"/>
    <w:p w14:paraId="216FA1E0" w14:textId="77777777" w:rsidR="00E279E3" w:rsidRDefault="00E279E3" w:rsidP="00E279E3"/>
    <w:p w14:paraId="52A1C778" w14:textId="77777777" w:rsidR="00E279E3" w:rsidRDefault="00884A0F" w:rsidP="00E279E3">
      <w:pPr>
        <w:rPr>
          <w:b/>
        </w:rPr>
      </w:pPr>
      <w:r>
        <w:rPr>
          <w:i/>
        </w:rPr>
        <w:t>Sept. 15</w:t>
      </w:r>
      <w:r w:rsidR="00E279E3">
        <w:tab/>
      </w:r>
      <w:r w:rsidR="00E279E3" w:rsidRPr="00BA3BFA">
        <w:rPr>
          <w:b/>
          <w:smallCaps/>
        </w:rPr>
        <w:t>International Order and Institutions</w:t>
      </w:r>
    </w:p>
    <w:p w14:paraId="236E302B" w14:textId="77777777" w:rsidR="00E279E3" w:rsidRPr="007F0F2C" w:rsidRDefault="00E279E3" w:rsidP="00E279E3">
      <w:pPr>
        <w:rPr>
          <w:sz w:val="12"/>
          <w:szCs w:val="12"/>
        </w:rPr>
      </w:pPr>
    </w:p>
    <w:p w14:paraId="553AB8D6" w14:textId="77777777" w:rsidR="00E50EAF" w:rsidRPr="00E50EAF" w:rsidRDefault="00E50EAF" w:rsidP="00E50EAF">
      <w:pPr>
        <w:pStyle w:val="cm210"/>
        <w:numPr>
          <w:ilvl w:val="0"/>
          <w:numId w:val="10"/>
        </w:numPr>
        <w:tabs>
          <w:tab w:val="left" w:pos="1260"/>
        </w:tabs>
        <w:spacing w:before="0" w:beforeAutospacing="0" w:after="0" w:afterAutospacing="0"/>
      </w:pPr>
      <w:r w:rsidRPr="00E50EAF">
        <w:t>Andrew Moravcsik, “Liberal Theories of International Relations,” (21 pp.)</w:t>
      </w:r>
    </w:p>
    <w:p w14:paraId="48D1D411" w14:textId="77777777" w:rsidR="00E279E3" w:rsidRPr="007F0F2C" w:rsidRDefault="00E279E3" w:rsidP="00E279E3">
      <w:pPr>
        <w:pStyle w:val="ListParagraph"/>
        <w:numPr>
          <w:ilvl w:val="0"/>
          <w:numId w:val="10"/>
        </w:numPr>
      </w:pPr>
      <w:r w:rsidRPr="007F0F2C">
        <w:t xml:space="preserve">Robert Keohane, "Neo-Liberal Institutionalism: </w:t>
      </w:r>
      <w:r>
        <w:t xml:space="preserve"> </w:t>
      </w:r>
      <w:r w:rsidRPr="007F0F2C">
        <w:t xml:space="preserve">A Perspective on World Politics," in Keohane, ed. </w:t>
      </w:r>
      <w:r w:rsidRPr="007F0F2C">
        <w:rPr>
          <w:i/>
          <w:iCs/>
        </w:rPr>
        <w:t xml:space="preserve">International Institutions and State Power </w:t>
      </w:r>
      <w:r>
        <w:t>(1989), pp. 1-7.</w:t>
      </w:r>
    </w:p>
    <w:p w14:paraId="34C1605A" w14:textId="77777777" w:rsidR="00E279E3" w:rsidRPr="007F0F2C" w:rsidRDefault="00E279E3" w:rsidP="00E279E3">
      <w:pPr>
        <w:pStyle w:val="ListParagraph"/>
        <w:numPr>
          <w:ilvl w:val="0"/>
          <w:numId w:val="10"/>
        </w:numPr>
      </w:pPr>
      <w:r w:rsidRPr="007F0F2C">
        <w:t xml:space="preserve">G. John Ikenberry, “An Institutional Theory of Order Formation,” in </w:t>
      </w:r>
      <w:r w:rsidRPr="007F0F2C">
        <w:rPr>
          <w:i/>
        </w:rPr>
        <w:t xml:space="preserve">After Victory </w:t>
      </w:r>
      <w:r>
        <w:t>(2001), pp. 50-72.</w:t>
      </w:r>
    </w:p>
    <w:p w14:paraId="799A1DCE" w14:textId="77777777" w:rsidR="00E279E3" w:rsidRPr="007F0F2C" w:rsidRDefault="00E279E3" w:rsidP="00E279E3">
      <w:pPr>
        <w:pStyle w:val="ListParagraph"/>
        <w:numPr>
          <w:ilvl w:val="0"/>
          <w:numId w:val="10"/>
        </w:numPr>
      </w:pPr>
      <w:r w:rsidRPr="007F0F2C">
        <w:t xml:space="preserve">Jeffry Frieden, David Lake and Kenneth Schultz, </w:t>
      </w:r>
      <w:r w:rsidRPr="007F0F2C">
        <w:rPr>
          <w:i/>
        </w:rPr>
        <w:t xml:space="preserve">World Politics: Interests, Interactions, Institutions </w:t>
      </w:r>
      <w:r w:rsidRPr="007F0F2C">
        <w:t xml:space="preserve">(2010), </w:t>
      </w:r>
      <w:proofErr w:type="gramStart"/>
      <w:r w:rsidRPr="007F0F2C">
        <w:t>pp</w:t>
      </w:r>
      <w:proofErr w:type="gramEnd"/>
      <w:r w:rsidRPr="007F0F2C">
        <w:t>. 62-72.</w:t>
      </w:r>
    </w:p>
    <w:p w14:paraId="2876621F" w14:textId="77777777" w:rsidR="003D4282" w:rsidRDefault="003D4282" w:rsidP="00E279E3"/>
    <w:p w14:paraId="609F0385" w14:textId="77777777" w:rsidR="003D4282" w:rsidRDefault="003D4282" w:rsidP="00E279E3"/>
    <w:p w14:paraId="4F56F15D" w14:textId="77777777" w:rsidR="00E279E3" w:rsidRDefault="00884A0F" w:rsidP="00E279E3">
      <w:pPr>
        <w:ind w:left="1440" w:hanging="1440"/>
        <w:rPr>
          <w:b/>
        </w:rPr>
      </w:pPr>
      <w:r>
        <w:rPr>
          <w:i/>
        </w:rPr>
        <w:t>Sept. 19</w:t>
      </w:r>
      <w:r w:rsidR="00E279E3">
        <w:tab/>
      </w:r>
      <w:r w:rsidR="00E279E3" w:rsidRPr="00BA3BFA">
        <w:rPr>
          <w:b/>
          <w:smallCaps/>
        </w:rPr>
        <w:t>The Concert of Europe and the Rise of Germany:  Can International Institutions Mitigate War?</w:t>
      </w:r>
    </w:p>
    <w:p w14:paraId="557653C7" w14:textId="77777777" w:rsidR="00E279E3" w:rsidRPr="00F22FF3" w:rsidRDefault="00E279E3" w:rsidP="00E279E3">
      <w:pPr>
        <w:ind w:left="1440" w:hanging="1440"/>
        <w:rPr>
          <w:sz w:val="12"/>
          <w:szCs w:val="12"/>
        </w:rPr>
      </w:pPr>
    </w:p>
    <w:p w14:paraId="3778CEB6" w14:textId="77777777" w:rsidR="00E279E3" w:rsidRPr="007F0F2C" w:rsidRDefault="00E279E3" w:rsidP="00E279E3">
      <w:pPr>
        <w:pStyle w:val="ListParagraph"/>
        <w:numPr>
          <w:ilvl w:val="0"/>
          <w:numId w:val="12"/>
        </w:numPr>
        <w:ind w:left="720"/>
      </w:pPr>
      <w:r w:rsidRPr="007F0F2C">
        <w:t xml:space="preserve">Henry Kissinger, </w:t>
      </w:r>
      <w:r w:rsidRPr="007F0F2C">
        <w:rPr>
          <w:i/>
        </w:rPr>
        <w:t>Diplomacy</w:t>
      </w:r>
      <w:r>
        <w:t xml:space="preserve"> (1994), pp. 78-167.</w:t>
      </w:r>
    </w:p>
    <w:p w14:paraId="309EF8A8" w14:textId="77777777" w:rsidR="00E279E3" w:rsidRPr="007F0F2C" w:rsidRDefault="00E279E3" w:rsidP="00E279E3">
      <w:pPr>
        <w:pStyle w:val="ListParagraph"/>
        <w:numPr>
          <w:ilvl w:val="0"/>
          <w:numId w:val="11"/>
        </w:numPr>
      </w:pPr>
      <w:r w:rsidRPr="007F0F2C">
        <w:lastRenderedPageBreak/>
        <w:t xml:space="preserve">John Mearsheimer, </w:t>
      </w:r>
      <w:r w:rsidRPr="007F0F2C">
        <w:rPr>
          <w:i/>
        </w:rPr>
        <w:t xml:space="preserve">Tragedy of Great Power Politics </w:t>
      </w:r>
      <w:r>
        <w:t>(2001), pp. 209-217.</w:t>
      </w:r>
    </w:p>
    <w:p w14:paraId="5DB60505" w14:textId="77777777" w:rsidR="00E279E3" w:rsidRPr="007F0F2C" w:rsidRDefault="00E279E3" w:rsidP="00E279E3">
      <w:pPr>
        <w:pStyle w:val="ListParagraph"/>
        <w:numPr>
          <w:ilvl w:val="0"/>
          <w:numId w:val="11"/>
        </w:numPr>
      </w:pPr>
      <w:r w:rsidRPr="007F0F2C">
        <w:t xml:space="preserve">Paul Schroeder, </w:t>
      </w:r>
      <w:r w:rsidRPr="007F0F2C">
        <w:rPr>
          <w:i/>
        </w:rPr>
        <w:t xml:space="preserve">The Transformation of European Politics, 1763-1848 </w:t>
      </w:r>
      <w:r>
        <w:t>(1994), pp. 575-82.</w:t>
      </w:r>
    </w:p>
    <w:p w14:paraId="2AEB6F4D" w14:textId="77777777" w:rsidR="00E279E3" w:rsidRPr="007F0F2C" w:rsidRDefault="00E279E3" w:rsidP="00E279E3"/>
    <w:p w14:paraId="2519B8B0" w14:textId="77777777" w:rsidR="00E279E3" w:rsidRDefault="00E279E3" w:rsidP="00E279E3">
      <w:pPr>
        <w:rPr>
          <w:i/>
        </w:rPr>
      </w:pPr>
    </w:p>
    <w:p w14:paraId="66CEF800" w14:textId="77777777" w:rsidR="00E279E3" w:rsidRDefault="00884A0F" w:rsidP="00E279E3">
      <w:pPr>
        <w:ind w:left="1440" w:hanging="1440"/>
        <w:rPr>
          <w:b/>
        </w:rPr>
      </w:pPr>
      <w:r>
        <w:rPr>
          <w:i/>
        </w:rPr>
        <w:t>Sept. 22</w:t>
      </w:r>
      <w:r w:rsidR="00E279E3">
        <w:rPr>
          <w:i/>
        </w:rPr>
        <w:tab/>
      </w:r>
      <w:r w:rsidR="00E279E3" w:rsidRPr="00BA3BFA">
        <w:rPr>
          <w:b/>
          <w:smallCaps/>
        </w:rPr>
        <w:t xml:space="preserve">Britain from Mercantilism to Laissez-Faire:  Why Do States Open or </w:t>
      </w:r>
      <w:proofErr w:type="gramStart"/>
      <w:r w:rsidR="00E279E3" w:rsidRPr="00BA3BFA">
        <w:rPr>
          <w:b/>
          <w:smallCaps/>
        </w:rPr>
        <w:t>Close</w:t>
      </w:r>
      <w:proofErr w:type="gramEnd"/>
      <w:r w:rsidR="00E279E3" w:rsidRPr="00BA3BFA">
        <w:rPr>
          <w:b/>
          <w:smallCaps/>
        </w:rPr>
        <w:t xml:space="preserve"> Their Economies to Trade?</w:t>
      </w:r>
    </w:p>
    <w:p w14:paraId="2D0CFD74" w14:textId="77777777" w:rsidR="00E279E3" w:rsidRPr="00194196" w:rsidRDefault="00E279E3" w:rsidP="00E279E3">
      <w:pPr>
        <w:ind w:left="1440" w:hanging="1440"/>
        <w:rPr>
          <w:sz w:val="12"/>
          <w:szCs w:val="12"/>
        </w:rPr>
      </w:pPr>
    </w:p>
    <w:p w14:paraId="666422BB" w14:textId="77777777" w:rsidR="00E279E3" w:rsidRPr="00194196" w:rsidRDefault="00E279E3" w:rsidP="00E279E3">
      <w:pPr>
        <w:pStyle w:val="ListParagraph"/>
        <w:numPr>
          <w:ilvl w:val="0"/>
          <w:numId w:val="14"/>
        </w:numPr>
      </w:pPr>
      <w:r w:rsidRPr="00194196">
        <w:t xml:space="preserve"> Thomas Lairson and David Skidmore, International Political Economy, pp. 44-55, 229-230.</w:t>
      </w:r>
    </w:p>
    <w:p w14:paraId="2A9546BD" w14:textId="77777777" w:rsidR="00E279E3" w:rsidRPr="00194196" w:rsidRDefault="00E279E3" w:rsidP="00E279E3">
      <w:pPr>
        <w:pStyle w:val="ListParagraph"/>
        <w:numPr>
          <w:ilvl w:val="0"/>
          <w:numId w:val="14"/>
        </w:numPr>
      </w:pPr>
      <w:r w:rsidRPr="00194196">
        <w:t>Adam Smith, "The Wealth of Nations" in Zahariadis, ed., Contending Perspectives in International Political Economy, pp. 3-5</w:t>
      </w:r>
      <w:r>
        <w:t>.</w:t>
      </w:r>
    </w:p>
    <w:p w14:paraId="3BC77C3B" w14:textId="77777777" w:rsidR="00E279E3" w:rsidRPr="004D5343" w:rsidRDefault="00E279E3" w:rsidP="00E279E3">
      <w:pPr>
        <w:pStyle w:val="ListParagraph"/>
        <w:numPr>
          <w:ilvl w:val="0"/>
          <w:numId w:val="14"/>
        </w:numPr>
      </w:pPr>
      <w:r w:rsidRPr="004D5343">
        <w:t xml:space="preserve">Alexander Hamilton, "Report on Manufactures", excerpted in George Crane and Abla Amawi, </w:t>
      </w:r>
      <w:proofErr w:type="gramStart"/>
      <w:r w:rsidRPr="004D5343">
        <w:t>eds</w:t>
      </w:r>
      <w:proofErr w:type="gramEnd"/>
      <w:r w:rsidRPr="004D5343">
        <w:t>. The Theoretical Evolution of International Political Economy, pp. 37-41.</w:t>
      </w:r>
    </w:p>
    <w:p w14:paraId="6EF5A66B" w14:textId="77777777" w:rsidR="00E279E3" w:rsidRPr="00194196" w:rsidRDefault="00E279E3" w:rsidP="00E279E3">
      <w:pPr>
        <w:pStyle w:val="ListParagraph"/>
        <w:numPr>
          <w:ilvl w:val="0"/>
          <w:numId w:val="14"/>
        </w:numPr>
      </w:pPr>
      <w:r w:rsidRPr="00194196">
        <w:t>Mark Brawley, "The Politics of Trade,” in Turning Points, pp. 145-160</w:t>
      </w:r>
      <w:r>
        <w:t xml:space="preserve">, </w:t>
      </w:r>
      <w:r w:rsidRPr="00194196">
        <w:t>209-218</w:t>
      </w:r>
      <w:r>
        <w:t>.</w:t>
      </w:r>
    </w:p>
    <w:p w14:paraId="60FE3F8B" w14:textId="77777777" w:rsidR="00E279E3" w:rsidRPr="00194196" w:rsidRDefault="00E279E3" w:rsidP="00E279E3">
      <w:pPr>
        <w:pStyle w:val="ListParagraph"/>
        <w:numPr>
          <w:ilvl w:val="0"/>
          <w:numId w:val="14"/>
        </w:numPr>
      </w:pPr>
      <w:r w:rsidRPr="00194196">
        <w:t>Michael Hiscox, “The Domestic Sources of Foreign Economic Policies,” in Art and Jervis, pp. 280-289</w:t>
      </w:r>
      <w:r>
        <w:t>.</w:t>
      </w:r>
    </w:p>
    <w:p w14:paraId="14D8AE43" w14:textId="77777777" w:rsidR="00E279E3" w:rsidRPr="004D5343" w:rsidRDefault="00E279E3" w:rsidP="00E279E3">
      <w:pPr>
        <w:pStyle w:val="ListParagraph"/>
        <w:numPr>
          <w:ilvl w:val="0"/>
          <w:numId w:val="14"/>
        </w:numPr>
      </w:pPr>
      <w:r w:rsidRPr="004D5343">
        <w:t>Robert Keohane and Joseph Nye, Politics and Interdependence, 3</w:t>
      </w:r>
      <w:r w:rsidRPr="004D5343">
        <w:rPr>
          <w:vertAlign w:val="superscript"/>
        </w:rPr>
        <w:t>rd</w:t>
      </w:r>
      <w:r w:rsidRPr="004D5343">
        <w:t xml:space="preserve"> (2001), pp. 5-10. </w:t>
      </w:r>
    </w:p>
    <w:p w14:paraId="57A1EFFE" w14:textId="77777777" w:rsidR="00E279E3" w:rsidRDefault="00E279E3" w:rsidP="00E279E3"/>
    <w:p w14:paraId="7A80D131" w14:textId="77777777" w:rsidR="0004579B" w:rsidRDefault="0004579B" w:rsidP="00E279E3"/>
    <w:p w14:paraId="3AE6308C" w14:textId="77777777" w:rsidR="0004579B" w:rsidRPr="009510E5" w:rsidRDefault="00884A0F" w:rsidP="0004579B">
      <w:pPr>
        <w:tabs>
          <w:tab w:val="left" w:pos="1260"/>
        </w:tabs>
        <w:spacing w:after="120"/>
        <w:ind w:left="1260" w:hanging="1260"/>
        <w:rPr>
          <w:rFonts w:cs="Times New Roman"/>
          <w:b/>
          <w:szCs w:val="24"/>
        </w:rPr>
      </w:pPr>
      <w:r>
        <w:rPr>
          <w:i/>
        </w:rPr>
        <w:t>Sept. 26</w:t>
      </w:r>
      <w:r w:rsidR="009510E5" w:rsidRPr="009510E5">
        <w:rPr>
          <w:rFonts w:cs="Times New Roman"/>
          <w:b/>
          <w:szCs w:val="24"/>
        </w:rPr>
        <w:tab/>
      </w:r>
      <w:r w:rsidR="0004579B" w:rsidRPr="00855A3D">
        <w:rPr>
          <w:rFonts w:cs="Times New Roman"/>
          <w:b/>
          <w:bCs/>
          <w:smallCaps/>
          <w:szCs w:val="24"/>
        </w:rPr>
        <w:t>B</w:t>
      </w:r>
      <w:r w:rsidR="00855A3D" w:rsidRPr="00855A3D">
        <w:rPr>
          <w:rFonts w:cs="Times New Roman"/>
          <w:b/>
          <w:bCs/>
          <w:smallCaps/>
          <w:szCs w:val="24"/>
        </w:rPr>
        <w:t>ritish Imperialism:  Why Do States Establish Formal and Informal Empires?</w:t>
      </w:r>
      <w:r w:rsidR="0004579B" w:rsidRPr="009510E5">
        <w:rPr>
          <w:rFonts w:cs="Times New Roman"/>
          <w:b/>
          <w:szCs w:val="24"/>
        </w:rPr>
        <w:t xml:space="preserve"> </w:t>
      </w:r>
      <w:r w:rsidR="0004579B" w:rsidRPr="009510E5">
        <w:rPr>
          <w:rFonts w:cs="Times New Roman"/>
          <w:szCs w:val="24"/>
        </w:rPr>
        <w:t>(86 pp.)</w:t>
      </w:r>
    </w:p>
    <w:p w14:paraId="2BE14C7E" w14:textId="77777777" w:rsidR="0004579B" w:rsidRPr="009510E5" w:rsidRDefault="0004579B" w:rsidP="009510E5">
      <w:pPr>
        <w:pStyle w:val="CM21"/>
        <w:numPr>
          <w:ilvl w:val="0"/>
          <w:numId w:val="38"/>
        </w:numPr>
        <w:tabs>
          <w:tab w:val="left" w:pos="1260"/>
        </w:tabs>
        <w:spacing w:after="0"/>
        <w:ind w:left="720"/>
      </w:pPr>
      <w:r w:rsidRPr="009510E5">
        <w:t xml:space="preserve">Tony Smith, "The Dynamics of Imperialism", in </w:t>
      </w:r>
      <w:r w:rsidRPr="009510E5">
        <w:rPr>
          <w:i/>
        </w:rPr>
        <w:t>Pattern of Imperialism</w:t>
      </w:r>
      <w:r w:rsidRPr="009510E5">
        <w:t>, pp. 15-49. (35 pp.)</w:t>
      </w:r>
    </w:p>
    <w:p w14:paraId="7D404B3F" w14:textId="77777777" w:rsidR="0004579B" w:rsidRPr="009510E5" w:rsidRDefault="0004579B" w:rsidP="009510E5">
      <w:pPr>
        <w:pStyle w:val="CM21"/>
        <w:numPr>
          <w:ilvl w:val="0"/>
          <w:numId w:val="38"/>
        </w:numPr>
        <w:tabs>
          <w:tab w:val="left" w:pos="1260"/>
        </w:tabs>
        <w:spacing w:after="0"/>
        <w:ind w:left="720"/>
      </w:pPr>
      <w:r w:rsidRPr="009510E5">
        <w:t xml:space="preserve">Ronald Robinson and John Gallagher, "The Imperialism of Free Trade" and "The Partition of Africa", in H. Wright, ed., </w:t>
      </w:r>
      <w:r w:rsidRPr="009510E5">
        <w:rPr>
          <w:i/>
        </w:rPr>
        <w:t>The ‘New Imperialism’,</w:t>
      </w:r>
      <w:r w:rsidRPr="009510E5">
        <w:t xml:space="preserve"> pp. 134-148, 151-158. (23 pp.) </w:t>
      </w:r>
    </w:p>
    <w:p w14:paraId="1D780518" w14:textId="77777777" w:rsidR="00AB5E9A" w:rsidRDefault="00AB5E9A" w:rsidP="00AB5E9A">
      <w:pPr>
        <w:pStyle w:val="CM21"/>
        <w:tabs>
          <w:tab w:val="left" w:pos="1260"/>
        </w:tabs>
        <w:spacing w:after="0"/>
        <w:ind w:left="720"/>
        <w:rPr>
          <w:color w:val="000000"/>
          <w:highlight w:val="yellow"/>
        </w:rPr>
      </w:pPr>
    </w:p>
    <w:p w14:paraId="2693A90C" w14:textId="20681D46" w:rsidR="0004579B" w:rsidRPr="00AB5E9A" w:rsidRDefault="00AB5E9A" w:rsidP="009510E5">
      <w:pPr>
        <w:pStyle w:val="CM21"/>
        <w:numPr>
          <w:ilvl w:val="0"/>
          <w:numId w:val="38"/>
        </w:numPr>
        <w:tabs>
          <w:tab w:val="left" w:pos="1260"/>
        </w:tabs>
        <w:spacing w:after="0"/>
        <w:ind w:left="720"/>
        <w:rPr>
          <w:color w:val="000000"/>
        </w:rPr>
      </w:pPr>
      <w:r w:rsidRPr="00AB5E9A">
        <w:rPr>
          <w:color w:val="000000"/>
        </w:rPr>
        <w:t xml:space="preserve">[OPTIONAL] </w:t>
      </w:r>
      <w:r w:rsidR="0004579B" w:rsidRPr="00AB5E9A">
        <w:rPr>
          <w:color w:val="000000"/>
        </w:rPr>
        <w:t xml:space="preserve">Adam Hochschild, </w:t>
      </w:r>
      <w:r w:rsidR="0004579B" w:rsidRPr="00AB5E9A">
        <w:rPr>
          <w:i/>
          <w:color w:val="000000"/>
        </w:rPr>
        <w:t xml:space="preserve">Bury the Chains </w:t>
      </w:r>
      <w:r w:rsidR="0004579B" w:rsidRPr="00AB5E9A">
        <w:rPr>
          <w:color w:val="000000"/>
        </w:rPr>
        <w:t>(2005)</w:t>
      </w:r>
      <w:r w:rsidR="0004579B" w:rsidRPr="00AB5E9A">
        <w:rPr>
          <w:i/>
          <w:color w:val="000000"/>
        </w:rPr>
        <w:t xml:space="preserve">, </w:t>
      </w:r>
      <w:r w:rsidR="0004579B" w:rsidRPr="00AB5E9A">
        <w:rPr>
          <w:color w:val="000000"/>
        </w:rPr>
        <w:t>pp. 3-8, 62-65, 333-349. (24 pp.)</w:t>
      </w:r>
    </w:p>
    <w:p w14:paraId="09C90043" w14:textId="77777777" w:rsidR="0004579B" w:rsidRPr="009A00E5" w:rsidRDefault="0004579B" w:rsidP="009510E5"/>
    <w:p w14:paraId="7F1BC814" w14:textId="77777777" w:rsidR="00E279E3" w:rsidRPr="009A00E5" w:rsidRDefault="00E279E3" w:rsidP="00E279E3"/>
    <w:p w14:paraId="67D79AE1" w14:textId="77777777" w:rsidR="00E279E3" w:rsidRPr="00DF7595" w:rsidRDefault="00884A0F" w:rsidP="00E279E3">
      <w:pPr>
        <w:ind w:left="1440" w:hanging="1440"/>
        <w:rPr>
          <w:b/>
        </w:rPr>
      </w:pPr>
      <w:r>
        <w:rPr>
          <w:i/>
        </w:rPr>
        <w:t>Sept. 29</w:t>
      </w:r>
      <w:r w:rsidR="00E279E3">
        <w:rPr>
          <w:i/>
        </w:rPr>
        <w:tab/>
      </w:r>
      <w:r w:rsidR="00E279E3" w:rsidRPr="00BA3BFA">
        <w:rPr>
          <w:b/>
          <w:smallCaps/>
        </w:rPr>
        <w:t>The Causes and Conduct of the “Great War:</w:t>
      </w:r>
      <w:proofErr w:type="gramStart"/>
      <w:r w:rsidR="00E279E3" w:rsidRPr="00BA3BFA">
        <w:rPr>
          <w:b/>
          <w:smallCaps/>
        </w:rPr>
        <w:t>”  Can</w:t>
      </w:r>
      <w:proofErr w:type="gramEnd"/>
      <w:r w:rsidR="00E279E3" w:rsidRPr="00BA3BFA">
        <w:rPr>
          <w:b/>
          <w:smallCaps/>
        </w:rPr>
        <w:t xml:space="preserve"> War Be Accidental?</w:t>
      </w:r>
    </w:p>
    <w:p w14:paraId="555D8E11" w14:textId="77777777" w:rsidR="00E279E3" w:rsidRPr="00194196" w:rsidRDefault="00E279E3" w:rsidP="00E279E3">
      <w:pPr>
        <w:rPr>
          <w:sz w:val="12"/>
          <w:szCs w:val="12"/>
        </w:rPr>
      </w:pPr>
    </w:p>
    <w:p w14:paraId="01200456" w14:textId="77777777" w:rsidR="00E279E3" w:rsidRPr="00DF7595" w:rsidRDefault="00E279E3" w:rsidP="00E279E3">
      <w:pPr>
        <w:pStyle w:val="ListParagraph"/>
        <w:numPr>
          <w:ilvl w:val="0"/>
          <w:numId w:val="13"/>
        </w:numPr>
      </w:pPr>
      <w:r w:rsidRPr="00DF7595">
        <w:t>Henry Kissinger, “A Political Doomsday Machine,” in Diplomacy, pp. 168-217 (50 pp.)</w:t>
      </w:r>
    </w:p>
    <w:p w14:paraId="445308C5" w14:textId="77777777" w:rsidR="00E279E3" w:rsidRPr="00C95E1E" w:rsidRDefault="00E279E3" w:rsidP="00E279E3">
      <w:pPr>
        <w:pStyle w:val="ListParagraph"/>
        <w:numPr>
          <w:ilvl w:val="0"/>
          <w:numId w:val="13"/>
        </w:numPr>
      </w:pPr>
      <w:r w:rsidRPr="00C95E1E">
        <w:t>Robert Jervis, “Offense, Defense and the Security Dilemma,” In Art and Jervis, pp. 153-173. (20 pp.)</w:t>
      </w:r>
    </w:p>
    <w:p w14:paraId="408449E1" w14:textId="77777777" w:rsidR="00E279E3" w:rsidRPr="00DF7595" w:rsidRDefault="00E279E3" w:rsidP="00E279E3">
      <w:pPr>
        <w:pStyle w:val="ListParagraph"/>
        <w:numPr>
          <w:ilvl w:val="0"/>
          <w:numId w:val="13"/>
        </w:numPr>
      </w:pPr>
      <w:r w:rsidRPr="00DF7595">
        <w:t xml:space="preserve">James Fearon, “Rationalist Explanations for War,” International Organization (Summer 1995), pp. 379-414. (35 pp.) </w:t>
      </w:r>
    </w:p>
    <w:p w14:paraId="2E1319A7" w14:textId="77777777" w:rsidR="00E279E3" w:rsidRPr="005327AC" w:rsidRDefault="00E279E3" w:rsidP="00E279E3">
      <w:pPr>
        <w:pStyle w:val="ListParagraph"/>
        <w:numPr>
          <w:ilvl w:val="0"/>
          <w:numId w:val="13"/>
        </w:numPr>
        <w:rPr>
          <w:b/>
        </w:rPr>
      </w:pPr>
      <w:r w:rsidRPr="005327AC">
        <w:rPr>
          <w:b/>
        </w:rPr>
        <w:t xml:space="preserve">Documents:  </w:t>
      </w:r>
      <w:r w:rsidRPr="005327AC">
        <w:t>Immanuel Geiss, ed. July 1914: The Outbreak of the First World War, pp.77-80, 122-24, 200-01, 258-60, 282-87, 309-13. (23 pp.)</w:t>
      </w:r>
    </w:p>
    <w:p w14:paraId="2DCBD823" w14:textId="77777777" w:rsidR="00E279E3" w:rsidRDefault="00E279E3" w:rsidP="00E279E3">
      <w:pPr>
        <w:rPr>
          <w:b/>
        </w:rPr>
      </w:pPr>
    </w:p>
    <w:p w14:paraId="002F8099" w14:textId="77777777" w:rsidR="00E279E3" w:rsidRDefault="00E279E3" w:rsidP="00E279E3"/>
    <w:p w14:paraId="396524CE" w14:textId="77777777" w:rsidR="00E279E3" w:rsidRDefault="00884A0F" w:rsidP="00E279E3">
      <w:pPr>
        <w:ind w:left="1440" w:hanging="1440"/>
        <w:rPr>
          <w:b/>
        </w:rPr>
      </w:pPr>
      <w:r>
        <w:rPr>
          <w:i/>
        </w:rPr>
        <w:t>Oct. 3</w:t>
      </w:r>
      <w:r w:rsidR="00E279E3">
        <w:tab/>
      </w:r>
      <w:r w:rsidR="00E279E3" w:rsidRPr="00BA3BFA">
        <w:rPr>
          <w:b/>
          <w:smallCaps/>
        </w:rPr>
        <w:t xml:space="preserve">Woodrow Wilson and the League of Nations:  Is There a Democratic Peace?  </w:t>
      </w:r>
      <w:proofErr w:type="gramStart"/>
      <w:r w:rsidR="00E279E3" w:rsidRPr="00BA3BFA">
        <w:rPr>
          <w:b/>
          <w:smallCaps/>
        </w:rPr>
        <w:t>If So, Does It Matter?</w:t>
      </w:r>
      <w:proofErr w:type="gramEnd"/>
    </w:p>
    <w:p w14:paraId="7841C7A7" w14:textId="77777777" w:rsidR="00E279E3" w:rsidRPr="00DB7B9F" w:rsidRDefault="00E279E3" w:rsidP="00E279E3">
      <w:pPr>
        <w:rPr>
          <w:sz w:val="12"/>
          <w:szCs w:val="12"/>
        </w:rPr>
      </w:pPr>
    </w:p>
    <w:p w14:paraId="0E955193" w14:textId="77777777" w:rsidR="00E279E3" w:rsidRPr="00DF7595" w:rsidRDefault="00E279E3" w:rsidP="00E279E3">
      <w:pPr>
        <w:pStyle w:val="ListParagraph"/>
        <w:numPr>
          <w:ilvl w:val="0"/>
          <w:numId w:val="15"/>
        </w:numPr>
      </w:pPr>
      <w:r w:rsidRPr="00DF7595">
        <w:lastRenderedPageBreak/>
        <w:t xml:space="preserve">Henry Kissinger, </w:t>
      </w:r>
      <w:r w:rsidRPr="00DB7B9F">
        <w:rPr>
          <w:i/>
        </w:rPr>
        <w:t>Diplomacy,</w:t>
      </w:r>
      <w:r w:rsidRPr="00DF7595">
        <w:t xml:space="preserve"> "The New Face of Diplomacy (conclusion only)", "The Dilemmas of the Victors", and "Stresemann and the Re-emergence of the Vanquished", pp. 239-245, 246-265, 266-287. (48 pp.)</w:t>
      </w:r>
    </w:p>
    <w:p w14:paraId="11672A47" w14:textId="77777777" w:rsidR="00E279E3" w:rsidRPr="00DF7595" w:rsidRDefault="00E279E3" w:rsidP="00E279E3">
      <w:pPr>
        <w:pStyle w:val="ListParagraph"/>
        <w:numPr>
          <w:ilvl w:val="0"/>
          <w:numId w:val="15"/>
        </w:numPr>
      </w:pPr>
      <w:r w:rsidRPr="00DF7595">
        <w:t xml:space="preserve">G. John Ikenberry, </w:t>
      </w:r>
      <w:r w:rsidRPr="00DB7B9F">
        <w:rPr>
          <w:i/>
        </w:rPr>
        <w:t xml:space="preserve">After Victory, </w:t>
      </w:r>
      <w:r w:rsidRPr="00DF7595">
        <w:t xml:space="preserve">pp. 117-162. (45 pp.) </w:t>
      </w:r>
      <w:r>
        <w:t xml:space="preserve"> </w:t>
      </w:r>
      <w:r w:rsidRPr="00DF7595">
        <w:t xml:space="preserve">Also review Ikenberry reading </w:t>
      </w:r>
      <w:r>
        <w:t>from Sept. 25</w:t>
      </w:r>
      <w:r w:rsidRPr="00DF7595">
        <w:t>.</w:t>
      </w:r>
    </w:p>
    <w:p w14:paraId="3DCDB046" w14:textId="77777777" w:rsidR="00E279E3" w:rsidRPr="00A156F0" w:rsidRDefault="00E279E3" w:rsidP="00E279E3">
      <w:pPr>
        <w:pStyle w:val="ListParagraph"/>
        <w:numPr>
          <w:ilvl w:val="0"/>
          <w:numId w:val="15"/>
        </w:numPr>
        <w:tabs>
          <w:tab w:val="left" w:pos="1260"/>
        </w:tabs>
        <w:rPr>
          <w:rFonts w:cs="Times New Roman"/>
          <w:color w:val="000000"/>
          <w:szCs w:val="24"/>
        </w:rPr>
      </w:pPr>
      <w:r w:rsidRPr="00A156F0">
        <w:rPr>
          <w:rFonts w:cs="Times New Roman"/>
          <w:color w:val="000000"/>
          <w:szCs w:val="24"/>
        </w:rPr>
        <w:t>Michael Doyle, “Kant, Liberal Legacies, and Foreign Affairs,” In Art and Jervis, pp. 83-95. (12 pp.)</w:t>
      </w:r>
    </w:p>
    <w:p w14:paraId="16F0360A" w14:textId="77777777" w:rsidR="00E279E3" w:rsidRPr="007C7254" w:rsidRDefault="00E279E3" w:rsidP="00E279E3">
      <w:pPr>
        <w:pStyle w:val="ListParagraph"/>
        <w:numPr>
          <w:ilvl w:val="0"/>
          <w:numId w:val="15"/>
        </w:numPr>
        <w:tabs>
          <w:tab w:val="left" w:pos="1260"/>
        </w:tabs>
        <w:rPr>
          <w:rFonts w:cs="Times New Roman"/>
          <w:b/>
          <w:i/>
          <w:szCs w:val="24"/>
        </w:rPr>
      </w:pPr>
      <w:r w:rsidRPr="007C7254">
        <w:rPr>
          <w:rFonts w:cs="Times New Roman"/>
          <w:b/>
          <w:i/>
          <w:szCs w:val="24"/>
        </w:rPr>
        <w:t xml:space="preserve">Documents:  </w:t>
      </w:r>
      <w:r w:rsidRPr="007C7254">
        <w:rPr>
          <w:rFonts w:cs="Times New Roman"/>
          <w:szCs w:val="24"/>
        </w:rPr>
        <w:t xml:space="preserve">Woodrow Wilson, Speeches: “Peace Without Victory” (22 January 1917); “War Message to Congress” (2 April 1917); “Fourteen Points,” (8 January 1918). </w:t>
      </w:r>
      <w:r>
        <w:rPr>
          <w:rFonts w:cs="Times New Roman"/>
          <w:szCs w:val="24"/>
        </w:rPr>
        <w:t xml:space="preserve"> </w:t>
      </w:r>
      <w:r w:rsidRPr="007C7254">
        <w:rPr>
          <w:rFonts w:cs="Times New Roman"/>
          <w:szCs w:val="24"/>
        </w:rPr>
        <w:t>(7 pp.)</w:t>
      </w:r>
    </w:p>
    <w:p w14:paraId="1855D17C" w14:textId="77777777" w:rsidR="00E279E3" w:rsidRDefault="00E279E3" w:rsidP="00E279E3">
      <w:pPr>
        <w:rPr>
          <w:b/>
        </w:rPr>
      </w:pPr>
    </w:p>
    <w:p w14:paraId="2F525033" w14:textId="77777777" w:rsidR="00E279E3" w:rsidRDefault="00E279E3" w:rsidP="00E279E3">
      <w:pPr>
        <w:rPr>
          <w:b/>
        </w:rPr>
      </w:pPr>
    </w:p>
    <w:p w14:paraId="03DB7951" w14:textId="77777777" w:rsidR="000B1FE4" w:rsidRPr="007C7254" w:rsidRDefault="00884A0F" w:rsidP="000B1FE4">
      <w:pPr>
        <w:ind w:left="1440" w:hanging="1440"/>
        <w:rPr>
          <w:b/>
        </w:rPr>
      </w:pPr>
      <w:r>
        <w:rPr>
          <w:i/>
        </w:rPr>
        <w:t>Oct. 6</w:t>
      </w:r>
      <w:r w:rsidR="00E279E3">
        <w:rPr>
          <w:i/>
        </w:rPr>
        <w:tab/>
      </w:r>
      <w:r w:rsidR="000B1FE4" w:rsidRPr="00BA3BFA">
        <w:rPr>
          <w:b/>
          <w:smallCaps/>
        </w:rPr>
        <w:t>The Great Depression:  Why Do States Adopt Protectionist and “Beggar-Thy-Neighbor” Responses to Economic Crises?</w:t>
      </w:r>
    </w:p>
    <w:p w14:paraId="15C9C22A" w14:textId="77777777" w:rsidR="000B1FE4" w:rsidRPr="00DB7B9F" w:rsidRDefault="000B1FE4" w:rsidP="000B1FE4">
      <w:pPr>
        <w:rPr>
          <w:sz w:val="12"/>
          <w:szCs w:val="12"/>
        </w:rPr>
      </w:pPr>
    </w:p>
    <w:p w14:paraId="11666A76" w14:textId="77777777" w:rsidR="000B1FE4" w:rsidRPr="007C7254" w:rsidRDefault="000B1FE4" w:rsidP="000B1FE4">
      <w:pPr>
        <w:pStyle w:val="CM21"/>
        <w:numPr>
          <w:ilvl w:val="0"/>
          <w:numId w:val="16"/>
        </w:numPr>
        <w:tabs>
          <w:tab w:val="left" w:pos="1260"/>
        </w:tabs>
        <w:spacing w:after="0"/>
      </w:pPr>
      <w:r w:rsidRPr="007C7254">
        <w:t xml:space="preserve">Thomas Lairson and David Skidmore, </w:t>
      </w:r>
      <w:r w:rsidRPr="007C7254">
        <w:rPr>
          <w:i/>
        </w:rPr>
        <w:t>International Political Economy,</w:t>
      </w:r>
      <w:r w:rsidRPr="007C7254">
        <w:t xml:space="preserve"> pp. 57-64. (8 pp.)</w:t>
      </w:r>
    </w:p>
    <w:p w14:paraId="210EF4D4" w14:textId="77777777" w:rsidR="000B1FE4" w:rsidRPr="007C7254" w:rsidRDefault="000B1FE4" w:rsidP="000B1FE4">
      <w:pPr>
        <w:pStyle w:val="CM21"/>
        <w:numPr>
          <w:ilvl w:val="0"/>
          <w:numId w:val="16"/>
        </w:numPr>
        <w:tabs>
          <w:tab w:val="left" w:pos="1260"/>
        </w:tabs>
        <w:spacing w:after="0"/>
      </w:pPr>
      <w:r w:rsidRPr="007C7254">
        <w:t xml:space="preserve">Charles Kindleberger, “An Explanation of the 1929 Depression,” in </w:t>
      </w:r>
      <w:r w:rsidRPr="007C7254">
        <w:rPr>
          <w:i/>
        </w:rPr>
        <w:t>The World in Depression, 1929-1939</w:t>
      </w:r>
      <w:r w:rsidRPr="007C7254">
        <w:t xml:space="preserve"> (1986)</w:t>
      </w:r>
      <w:r w:rsidRPr="007C7254">
        <w:rPr>
          <w:i/>
        </w:rPr>
        <w:t xml:space="preserve">, </w:t>
      </w:r>
      <w:r w:rsidRPr="007C7254">
        <w:t>pp. 288-305. (19 pp.)</w:t>
      </w:r>
    </w:p>
    <w:p w14:paraId="55D33930" w14:textId="77777777" w:rsidR="000B1FE4" w:rsidRPr="007C7254" w:rsidRDefault="000B1FE4" w:rsidP="000B1FE4">
      <w:pPr>
        <w:pStyle w:val="CM21"/>
        <w:numPr>
          <w:ilvl w:val="0"/>
          <w:numId w:val="16"/>
        </w:numPr>
        <w:tabs>
          <w:tab w:val="left" w:pos="1260"/>
        </w:tabs>
        <w:spacing w:after="0"/>
      </w:pPr>
      <w:r w:rsidRPr="007C7254">
        <w:t xml:space="preserve">Barry Eichengreen, “The Political Economy of the Smoot-Hawley Tariff,” in Jeffry Frieden and David Lake, eds. </w:t>
      </w:r>
      <w:r w:rsidRPr="007C7254">
        <w:rPr>
          <w:i/>
        </w:rPr>
        <w:t xml:space="preserve">International Political Economy: Perspectives on Power and Wealth </w:t>
      </w:r>
      <w:r w:rsidRPr="007C7254">
        <w:t>(2000), pp. 37-46. (10 pp.)</w:t>
      </w:r>
    </w:p>
    <w:p w14:paraId="2345CDEA" w14:textId="77777777" w:rsidR="000B1FE4" w:rsidRPr="007C7254" w:rsidRDefault="000B1FE4" w:rsidP="000B1FE4">
      <w:pPr>
        <w:pStyle w:val="Default"/>
        <w:numPr>
          <w:ilvl w:val="0"/>
          <w:numId w:val="16"/>
        </w:numPr>
      </w:pPr>
      <w:r w:rsidRPr="007C7254">
        <w:t xml:space="preserve">Jeffry Frieden, </w:t>
      </w:r>
      <w:r w:rsidRPr="007C7254">
        <w:rPr>
          <w:i/>
        </w:rPr>
        <w:t xml:space="preserve">Global Capitalism: Its Rise and </w:t>
      </w:r>
      <w:proofErr w:type="gramStart"/>
      <w:r w:rsidRPr="007C7254">
        <w:rPr>
          <w:i/>
        </w:rPr>
        <w:t>Fall</w:t>
      </w:r>
      <w:proofErr w:type="gramEnd"/>
      <w:r w:rsidRPr="007C7254">
        <w:rPr>
          <w:i/>
        </w:rPr>
        <w:t xml:space="preserve"> in the Twentieth Century </w:t>
      </w:r>
      <w:r w:rsidRPr="007C7254">
        <w:t>(2006), “The Turn to Autarky” and “Building a Social Democracy”, pp. 195-250. (55 pp.)</w:t>
      </w:r>
    </w:p>
    <w:p w14:paraId="47F95DED" w14:textId="77777777" w:rsidR="00E279E3" w:rsidRPr="00004F63" w:rsidRDefault="00E279E3" w:rsidP="002E0F19">
      <w:pPr>
        <w:ind w:left="1440" w:hanging="1440"/>
        <w:rPr>
          <w:b/>
          <w:bCs/>
          <w:smallCaps/>
          <w:szCs w:val="24"/>
        </w:rPr>
      </w:pPr>
    </w:p>
    <w:p w14:paraId="449537B8" w14:textId="77777777" w:rsidR="00E279E3" w:rsidRPr="00BC0AF7" w:rsidRDefault="00E279E3" w:rsidP="00E279E3">
      <w:pPr>
        <w:rPr>
          <w:i/>
        </w:rPr>
      </w:pPr>
    </w:p>
    <w:p w14:paraId="2B8779E4" w14:textId="77777777" w:rsidR="00E279E3" w:rsidRPr="00BC0AF7" w:rsidRDefault="00884A0F" w:rsidP="00E279E3">
      <w:pPr>
        <w:rPr>
          <w:i/>
        </w:rPr>
      </w:pPr>
      <w:r>
        <w:rPr>
          <w:i/>
        </w:rPr>
        <w:t>Oct. 13</w:t>
      </w:r>
      <w:r>
        <w:rPr>
          <w:i/>
        </w:rPr>
        <w:tab/>
      </w:r>
      <w:r w:rsidR="00E279E3">
        <w:rPr>
          <w:i/>
        </w:rPr>
        <w:tab/>
      </w:r>
      <w:r w:rsidR="000B1FE4" w:rsidRPr="00004F63">
        <w:rPr>
          <w:b/>
          <w:bCs/>
          <w:smallCaps/>
          <w:szCs w:val="24"/>
        </w:rPr>
        <w:t>Review Session</w:t>
      </w:r>
    </w:p>
    <w:p w14:paraId="075BF6D3" w14:textId="77777777" w:rsidR="00E279E3" w:rsidRDefault="00E279E3" w:rsidP="00E279E3">
      <w:pPr>
        <w:rPr>
          <w:i/>
        </w:rPr>
      </w:pPr>
    </w:p>
    <w:p w14:paraId="6E18ABB4" w14:textId="77777777" w:rsidR="00E279E3" w:rsidRPr="00BC0AF7" w:rsidRDefault="00E279E3" w:rsidP="00E279E3">
      <w:pPr>
        <w:rPr>
          <w:i/>
        </w:rPr>
      </w:pPr>
    </w:p>
    <w:p w14:paraId="43801B4A" w14:textId="77777777" w:rsidR="002E0F19" w:rsidRPr="007C7254" w:rsidRDefault="00884A0F" w:rsidP="000B1FE4">
      <w:pPr>
        <w:ind w:left="1440" w:hanging="1440"/>
      </w:pPr>
      <w:r>
        <w:rPr>
          <w:i/>
        </w:rPr>
        <w:t>Oct. 17</w:t>
      </w:r>
      <w:r w:rsidR="00E279E3">
        <w:tab/>
      </w:r>
      <w:r w:rsidR="000B1FE4" w:rsidRPr="00BA3BFA">
        <w:rPr>
          <w:b/>
          <w:smallCaps/>
        </w:rPr>
        <w:t>In-class mid-term</w:t>
      </w:r>
    </w:p>
    <w:p w14:paraId="24A3CC50" w14:textId="77777777" w:rsidR="002E0F19" w:rsidRDefault="002E0F19" w:rsidP="00E279E3">
      <w:pPr>
        <w:tabs>
          <w:tab w:val="left" w:pos="1440"/>
        </w:tabs>
        <w:ind w:left="1440" w:hanging="1440"/>
        <w:rPr>
          <w:b/>
          <w:smallCaps/>
        </w:rPr>
      </w:pPr>
    </w:p>
    <w:p w14:paraId="3AE1D827" w14:textId="77777777" w:rsidR="00E0125D" w:rsidRDefault="00E0125D" w:rsidP="00E279E3">
      <w:pPr>
        <w:tabs>
          <w:tab w:val="left" w:pos="1440"/>
        </w:tabs>
        <w:ind w:left="1440" w:hanging="1440"/>
        <w:rPr>
          <w:b/>
          <w:smallCaps/>
        </w:rPr>
      </w:pPr>
    </w:p>
    <w:p w14:paraId="052E27C3" w14:textId="77777777" w:rsidR="00E279E3" w:rsidRPr="00006B34" w:rsidRDefault="00884A0F" w:rsidP="00E279E3">
      <w:pPr>
        <w:tabs>
          <w:tab w:val="left" w:pos="1440"/>
        </w:tabs>
        <w:ind w:left="1440" w:hanging="1440"/>
        <w:rPr>
          <w:rFonts w:ascii="Garamond" w:hAnsi="Garamond"/>
          <w:b/>
          <w:szCs w:val="24"/>
        </w:rPr>
      </w:pPr>
      <w:r>
        <w:rPr>
          <w:i/>
        </w:rPr>
        <w:t>Oct. 20</w:t>
      </w:r>
      <w:r w:rsidR="000D3BA0">
        <w:rPr>
          <w:b/>
          <w:i/>
          <w:smallCaps/>
        </w:rPr>
        <w:tab/>
      </w:r>
      <w:r w:rsidR="00E279E3" w:rsidRPr="00BA3BFA">
        <w:rPr>
          <w:b/>
          <w:smallCaps/>
        </w:rPr>
        <w:t>World War 2:  What is the Role of Ideology, Domestic Politics, and Non-Rational Behavior in Causing War?</w:t>
      </w:r>
      <w:r w:rsidR="00E279E3" w:rsidRPr="00006B34">
        <w:rPr>
          <w:rFonts w:ascii="Garamond" w:hAnsi="Garamond"/>
          <w:b/>
          <w:szCs w:val="24"/>
        </w:rPr>
        <w:t xml:space="preserve"> </w:t>
      </w:r>
      <w:r w:rsidR="00E279E3" w:rsidRPr="00006B34">
        <w:rPr>
          <w:rFonts w:ascii="Garamond" w:hAnsi="Garamond"/>
          <w:szCs w:val="24"/>
        </w:rPr>
        <w:t>(89 pp.)</w:t>
      </w:r>
    </w:p>
    <w:p w14:paraId="56B82447" w14:textId="77777777" w:rsidR="00E279E3" w:rsidRPr="00985FFC" w:rsidRDefault="00E279E3" w:rsidP="00E279E3">
      <w:pPr>
        <w:pStyle w:val="CM21"/>
        <w:tabs>
          <w:tab w:val="left" w:pos="1260"/>
          <w:tab w:val="left" w:pos="1725"/>
        </w:tabs>
        <w:spacing w:after="0"/>
        <w:ind w:left="720"/>
        <w:rPr>
          <w:sz w:val="12"/>
          <w:szCs w:val="12"/>
        </w:rPr>
      </w:pPr>
    </w:p>
    <w:p w14:paraId="715499B9" w14:textId="77777777" w:rsidR="00E279E3" w:rsidRPr="0060568E" w:rsidRDefault="00E279E3" w:rsidP="00E279E3">
      <w:pPr>
        <w:pStyle w:val="CM21"/>
        <w:numPr>
          <w:ilvl w:val="0"/>
          <w:numId w:val="17"/>
        </w:numPr>
        <w:tabs>
          <w:tab w:val="left" w:pos="1260"/>
          <w:tab w:val="left" w:pos="1725"/>
        </w:tabs>
        <w:spacing w:after="0"/>
      </w:pPr>
      <w:r w:rsidRPr="0060568E">
        <w:t xml:space="preserve">Henry Kissinger, </w:t>
      </w:r>
      <w:r w:rsidRPr="0060568E">
        <w:rPr>
          <w:i/>
        </w:rPr>
        <w:t>Diplomacy,</w:t>
      </w:r>
      <w:r w:rsidRPr="0060568E">
        <w:t xml:space="preserve"> "The End of Illusion,” “The Nazi-Soviet Pact” (selections </w:t>
      </w:r>
      <w:r w:rsidRPr="0060568E">
        <w:rPr>
          <w:u w:val="single"/>
        </w:rPr>
        <w:t>only</w:t>
      </w:r>
      <w:r w:rsidRPr="0060568E">
        <w:t>), pp. 288-318, 350-355, 365-368. (38 pp.)</w:t>
      </w:r>
    </w:p>
    <w:p w14:paraId="559A378E" w14:textId="77777777" w:rsidR="00E279E3" w:rsidRPr="0060568E" w:rsidRDefault="00E279E3" w:rsidP="00E279E3">
      <w:pPr>
        <w:pStyle w:val="CM21"/>
        <w:numPr>
          <w:ilvl w:val="0"/>
          <w:numId w:val="17"/>
        </w:numPr>
        <w:tabs>
          <w:tab w:val="left" w:pos="1260"/>
        </w:tabs>
        <w:spacing w:after="0"/>
        <w:rPr>
          <w:color w:val="000000"/>
        </w:rPr>
      </w:pPr>
      <w:r w:rsidRPr="0060568E">
        <w:t xml:space="preserve">AJP Taylor, “Second Thoughts,” </w:t>
      </w:r>
      <w:r w:rsidRPr="0060568E">
        <w:rPr>
          <w:i/>
        </w:rPr>
        <w:t>The Origins of the Second World War</w:t>
      </w:r>
      <w:r w:rsidRPr="0060568E">
        <w:t xml:space="preserve">  (1961), pp. xi-xxviii. (18 pp.)</w:t>
      </w:r>
    </w:p>
    <w:p w14:paraId="18522B6A" w14:textId="77777777" w:rsidR="00E279E3" w:rsidRPr="0060568E" w:rsidRDefault="00E279E3" w:rsidP="00E279E3">
      <w:pPr>
        <w:pStyle w:val="CM21"/>
        <w:numPr>
          <w:ilvl w:val="0"/>
          <w:numId w:val="17"/>
        </w:numPr>
        <w:tabs>
          <w:tab w:val="left" w:pos="1260"/>
        </w:tabs>
        <w:spacing w:after="0"/>
        <w:rPr>
          <w:color w:val="000000"/>
        </w:rPr>
      </w:pPr>
      <w:r w:rsidRPr="0060568E">
        <w:rPr>
          <w:color w:val="000000"/>
        </w:rPr>
        <w:t xml:space="preserve">Wilhelm Deist, “The Road to Ideological War: Germany, 1918-1945,” </w:t>
      </w:r>
      <w:r w:rsidRPr="0060568E">
        <w:rPr>
          <w:i/>
          <w:color w:val="000000"/>
        </w:rPr>
        <w:t>The Making of Strategy,</w:t>
      </w:r>
      <w:r w:rsidRPr="0060568E">
        <w:rPr>
          <w:color w:val="000000"/>
        </w:rPr>
        <w:t xml:space="preserve"> pp. 380-392. (12 pp.)</w:t>
      </w:r>
    </w:p>
    <w:p w14:paraId="23583968" w14:textId="77777777" w:rsidR="00E279E3" w:rsidRPr="0060568E" w:rsidRDefault="00E279E3" w:rsidP="00E279E3">
      <w:pPr>
        <w:pStyle w:val="ListParagraph"/>
        <w:numPr>
          <w:ilvl w:val="0"/>
          <w:numId w:val="17"/>
        </w:numPr>
        <w:tabs>
          <w:tab w:val="left" w:pos="1260"/>
        </w:tabs>
        <w:rPr>
          <w:rFonts w:cs="Times New Roman"/>
          <w:color w:val="000000"/>
          <w:szCs w:val="24"/>
        </w:rPr>
      </w:pPr>
      <w:r w:rsidRPr="0060568E">
        <w:rPr>
          <w:rFonts w:cs="Times New Roman"/>
          <w:color w:val="000000"/>
          <w:szCs w:val="24"/>
        </w:rPr>
        <w:t xml:space="preserve">Scott D. Sagan, "The Origins of the Pacific War," </w:t>
      </w:r>
      <w:r w:rsidRPr="0060568E">
        <w:rPr>
          <w:rFonts w:cs="Times New Roman"/>
          <w:i/>
          <w:iCs/>
          <w:color w:val="000000"/>
          <w:szCs w:val="24"/>
        </w:rPr>
        <w:t xml:space="preserve">The Journal of Interdisciplinary History, </w:t>
      </w:r>
      <w:r w:rsidRPr="0060568E">
        <w:rPr>
          <w:rFonts w:cs="Times New Roman"/>
          <w:color w:val="000000"/>
          <w:szCs w:val="24"/>
        </w:rPr>
        <w:t>18:4 (Spring 1988), pp. 893-914. (21 pp.)</w:t>
      </w:r>
    </w:p>
    <w:p w14:paraId="0A9F1198" w14:textId="77777777" w:rsidR="00E279E3" w:rsidRPr="00776DDE" w:rsidRDefault="00E279E3" w:rsidP="00E279E3">
      <w:pPr>
        <w:rPr>
          <w:rFonts w:cs="Times New Roman"/>
        </w:rPr>
      </w:pPr>
    </w:p>
    <w:p w14:paraId="13729A49" w14:textId="77777777" w:rsidR="00E279E3" w:rsidRPr="00776DDE" w:rsidRDefault="00E279E3" w:rsidP="00E279E3"/>
    <w:p w14:paraId="2E95A07D" w14:textId="77777777" w:rsidR="00E279E3" w:rsidRPr="00242B3D" w:rsidRDefault="00884A0F" w:rsidP="00E279E3">
      <w:pPr>
        <w:ind w:left="1440" w:hanging="1440"/>
      </w:pPr>
      <w:r>
        <w:rPr>
          <w:i/>
        </w:rPr>
        <w:t>Oct. 24</w:t>
      </w:r>
      <w:r w:rsidR="00E279E3">
        <w:tab/>
      </w:r>
      <w:r w:rsidR="00E279E3" w:rsidRPr="00F25BB0">
        <w:rPr>
          <w:b/>
          <w:smallCaps/>
        </w:rPr>
        <w:t>The Origins of the Cold War:  More on the Role of Ideology and Domestic Politics in Causing Conflict</w:t>
      </w:r>
      <w:r w:rsidR="00E279E3">
        <w:t xml:space="preserve">  (100 pp.)</w:t>
      </w:r>
    </w:p>
    <w:p w14:paraId="3D3A9734" w14:textId="77777777" w:rsidR="00E279E3" w:rsidRPr="00242B3D" w:rsidRDefault="00E279E3" w:rsidP="00E279E3">
      <w:pPr>
        <w:rPr>
          <w:sz w:val="12"/>
          <w:szCs w:val="12"/>
        </w:rPr>
      </w:pPr>
    </w:p>
    <w:p w14:paraId="0BC77DC9" w14:textId="77777777" w:rsidR="00E279E3" w:rsidRPr="00F7319A" w:rsidRDefault="00E279E3" w:rsidP="00E279E3">
      <w:pPr>
        <w:pStyle w:val="ListParagraph"/>
        <w:numPr>
          <w:ilvl w:val="0"/>
          <w:numId w:val="18"/>
        </w:numPr>
      </w:pPr>
      <w:r w:rsidRPr="00F7319A">
        <w:lastRenderedPageBreak/>
        <w:t>Henry Kissinger, Diplomacy, “The Beginning of the Cold War,” “The Success and the Pain of Containment,” and “The Dilemma of Containment: The Korean War” (selections), pp. 423-472, 473-483. (59 pp.)</w:t>
      </w:r>
    </w:p>
    <w:p w14:paraId="7F313DF7" w14:textId="77777777" w:rsidR="00E279E3" w:rsidRDefault="00E279E3" w:rsidP="00E279E3">
      <w:pPr>
        <w:pStyle w:val="ListParagraph"/>
        <w:numPr>
          <w:ilvl w:val="0"/>
          <w:numId w:val="18"/>
        </w:numPr>
      </w:pPr>
      <w:r w:rsidRPr="00F7319A">
        <w:t>Melvyn Leffler, “National Security and US Foreign Policy,” The Origins of the Cold War (New York, 2005), pp. 15-32. (17 pp.)</w:t>
      </w:r>
    </w:p>
    <w:p w14:paraId="1F23248B" w14:textId="77777777" w:rsidR="00E279E3" w:rsidRPr="00F7319A" w:rsidRDefault="00E279E3" w:rsidP="00E279E3">
      <w:pPr>
        <w:pStyle w:val="ListParagraph"/>
      </w:pPr>
    </w:p>
    <w:p w14:paraId="223DAD0F" w14:textId="77777777" w:rsidR="00E279E3" w:rsidRPr="00242B3D" w:rsidRDefault="00E279E3" w:rsidP="00E279E3">
      <w:pPr>
        <w:ind w:left="360"/>
        <w:rPr>
          <w:b/>
        </w:rPr>
      </w:pPr>
      <w:r w:rsidRPr="00242B3D">
        <w:rPr>
          <w:b/>
        </w:rPr>
        <w:t xml:space="preserve">Documents: </w:t>
      </w:r>
    </w:p>
    <w:p w14:paraId="3324D3A5" w14:textId="77777777" w:rsidR="00E279E3" w:rsidRPr="002F41AD" w:rsidRDefault="00E279E3" w:rsidP="00E279E3">
      <w:pPr>
        <w:pStyle w:val="ListParagraph"/>
        <w:numPr>
          <w:ilvl w:val="0"/>
          <w:numId w:val="18"/>
        </w:numPr>
      </w:pPr>
      <w:r w:rsidRPr="002F41AD">
        <w:t xml:space="preserve">George Kennan, “Sources of Soviet Conduct,” American Diplomacy (1951), </w:t>
      </w:r>
      <w:r w:rsidR="004A34E0" w:rsidRPr="002F41AD">
        <w:t>107-108, 113-128</w:t>
      </w:r>
      <w:r w:rsidRPr="002F41AD">
        <w:t>. (13 pp.)</w:t>
      </w:r>
      <w:r w:rsidR="004A34E0" w:rsidRPr="002F41AD">
        <w:t xml:space="preserve"> </w:t>
      </w:r>
    </w:p>
    <w:p w14:paraId="26D82773" w14:textId="77777777" w:rsidR="00E279E3" w:rsidRPr="00F7319A" w:rsidRDefault="00E279E3" w:rsidP="00E279E3">
      <w:pPr>
        <w:pStyle w:val="ListParagraph"/>
        <w:numPr>
          <w:ilvl w:val="0"/>
          <w:numId w:val="18"/>
        </w:numPr>
      </w:pPr>
      <w:r>
        <w:t>“</w:t>
      </w:r>
      <w:r w:rsidRPr="00F7319A">
        <w:t>April 17, 1950 Summary of NSC-68,</w:t>
      </w:r>
      <w:r>
        <w:t>”</w:t>
      </w:r>
      <w:r w:rsidRPr="00F7319A">
        <w:t xml:space="preserve"> pp. 1-6. (6 pp.)</w:t>
      </w:r>
    </w:p>
    <w:p w14:paraId="6BC5425B" w14:textId="77777777" w:rsidR="00866EF3" w:rsidRDefault="00866EF3" w:rsidP="00866EF3">
      <w:pPr>
        <w:pStyle w:val="ListParagraph"/>
      </w:pPr>
    </w:p>
    <w:p w14:paraId="4D6E3DB2" w14:textId="2591F734" w:rsidR="00E279E3" w:rsidRPr="00866EF3" w:rsidRDefault="00866EF3" w:rsidP="00E279E3">
      <w:pPr>
        <w:pStyle w:val="ListParagraph"/>
        <w:numPr>
          <w:ilvl w:val="0"/>
          <w:numId w:val="18"/>
        </w:numPr>
      </w:pPr>
      <w:r w:rsidRPr="00866EF3">
        <w:t xml:space="preserve">[OPTIONAL]  </w:t>
      </w:r>
      <w:r w:rsidR="00E279E3" w:rsidRPr="00866EF3">
        <w:t>The Novikov Telegram, Sept. 27, 1946. (</w:t>
      </w:r>
      <w:r w:rsidR="000F2DDD" w:rsidRPr="00866EF3">
        <w:t>13</w:t>
      </w:r>
      <w:r w:rsidR="00E279E3" w:rsidRPr="00866EF3">
        <w:t xml:space="preserve"> pp.)</w:t>
      </w:r>
    </w:p>
    <w:p w14:paraId="1941A41E" w14:textId="77777777" w:rsidR="00E279E3" w:rsidRDefault="00E279E3" w:rsidP="00E279E3"/>
    <w:p w14:paraId="0641CD32" w14:textId="77777777" w:rsidR="00E279E3" w:rsidRPr="00242B3D" w:rsidRDefault="00E279E3" w:rsidP="00E279E3"/>
    <w:p w14:paraId="2569B6C8" w14:textId="77777777" w:rsidR="00E279E3" w:rsidRPr="00776DDE" w:rsidRDefault="00884A0F" w:rsidP="00E279E3">
      <w:pPr>
        <w:ind w:left="1440" w:hanging="1440"/>
      </w:pPr>
      <w:r>
        <w:rPr>
          <w:i/>
        </w:rPr>
        <w:t>Oct. 27</w:t>
      </w:r>
      <w:r w:rsidR="00E279E3">
        <w:tab/>
      </w:r>
      <w:r w:rsidR="00E279E3" w:rsidRPr="00F25BB0">
        <w:rPr>
          <w:b/>
          <w:smallCaps/>
        </w:rPr>
        <w:t>The Bretton Woods System:  Can International Institutions Free Economic Markets?</w:t>
      </w:r>
      <w:r w:rsidR="00E279E3">
        <w:t xml:space="preserve"> (104 pp.)</w:t>
      </w:r>
    </w:p>
    <w:p w14:paraId="6395D24C" w14:textId="77777777" w:rsidR="00E279E3" w:rsidRPr="00F25BB0" w:rsidRDefault="00E279E3" w:rsidP="00E279E3">
      <w:pPr>
        <w:rPr>
          <w:sz w:val="12"/>
          <w:szCs w:val="12"/>
        </w:rPr>
      </w:pPr>
    </w:p>
    <w:p w14:paraId="05B19DEE" w14:textId="77777777" w:rsidR="00E279E3" w:rsidRPr="00776DDE" w:rsidRDefault="00E279E3" w:rsidP="00E279E3">
      <w:pPr>
        <w:pStyle w:val="ListParagraph"/>
        <w:numPr>
          <w:ilvl w:val="0"/>
          <w:numId w:val="19"/>
        </w:numPr>
      </w:pPr>
      <w:r w:rsidRPr="00776DDE">
        <w:t xml:space="preserve">Thomas Lairson and David Skidmore, </w:t>
      </w:r>
      <w:r w:rsidRPr="00F25BB0">
        <w:rPr>
          <w:i/>
        </w:rPr>
        <w:t>International Political Economy</w:t>
      </w:r>
      <w:r w:rsidRPr="00776DDE">
        <w:t>, pp. 71-89 and 116-24. (28 pp.)</w:t>
      </w:r>
    </w:p>
    <w:p w14:paraId="0A0471A8" w14:textId="77777777" w:rsidR="00E279E3" w:rsidRPr="005327AC" w:rsidRDefault="00E279E3" w:rsidP="00E279E3">
      <w:pPr>
        <w:pStyle w:val="ListParagraph"/>
        <w:numPr>
          <w:ilvl w:val="0"/>
          <w:numId w:val="19"/>
        </w:numPr>
      </w:pPr>
      <w:r w:rsidRPr="005327AC">
        <w:t xml:space="preserve">Robert Keohane, </w:t>
      </w:r>
      <w:r w:rsidRPr="005327AC">
        <w:rPr>
          <w:i/>
        </w:rPr>
        <w:t xml:space="preserve">After Hegemony </w:t>
      </w:r>
      <w:r w:rsidRPr="005327AC">
        <w:t>(1984), pp. 85-101, 135-150, 187-190. (37 pp.)</w:t>
      </w:r>
    </w:p>
    <w:p w14:paraId="6788E45D" w14:textId="77777777" w:rsidR="00E279E3" w:rsidRPr="00776DDE" w:rsidRDefault="00E279E3" w:rsidP="00E279E3">
      <w:pPr>
        <w:pStyle w:val="ListParagraph"/>
        <w:numPr>
          <w:ilvl w:val="0"/>
          <w:numId w:val="19"/>
        </w:numPr>
      </w:pPr>
      <w:r w:rsidRPr="00776DDE">
        <w:t xml:space="preserve">G. John Ikenberry, </w:t>
      </w:r>
      <w:r w:rsidRPr="00F25BB0">
        <w:rPr>
          <w:i/>
        </w:rPr>
        <w:t xml:space="preserve">After Victory </w:t>
      </w:r>
      <w:r w:rsidRPr="00776DDE">
        <w:t>(2001), pp. 163-214. (39 pp.)  Also review Ikenberry reading in Week 2.</w:t>
      </w:r>
    </w:p>
    <w:p w14:paraId="09ADB5AE" w14:textId="77777777" w:rsidR="00E279E3" w:rsidRDefault="00E279E3" w:rsidP="00E279E3"/>
    <w:p w14:paraId="681F8B48" w14:textId="77777777" w:rsidR="00E279E3" w:rsidRPr="00776DDE" w:rsidRDefault="00E279E3" w:rsidP="00E279E3"/>
    <w:p w14:paraId="1D2F3667" w14:textId="77777777" w:rsidR="00E279E3" w:rsidRPr="008467F1" w:rsidRDefault="00884A0F" w:rsidP="00E279E3">
      <w:r>
        <w:rPr>
          <w:i/>
        </w:rPr>
        <w:t>Oct. 31</w:t>
      </w:r>
      <w:r>
        <w:rPr>
          <w:i/>
        </w:rPr>
        <w:tab/>
      </w:r>
      <w:r w:rsidR="00E279E3">
        <w:tab/>
      </w:r>
      <w:r w:rsidR="00E279E3" w:rsidRPr="008467F1">
        <w:rPr>
          <w:b/>
          <w:smallCaps/>
        </w:rPr>
        <w:t>Nuclear Weapons:  Force for Peace or Target for Abolition?</w:t>
      </w:r>
      <w:r w:rsidR="00E279E3">
        <w:t xml:space="preserve"> (91 pp.)</w:t>
      </w:r>
    </w:p>
    <w:p w14:paraId="3746E0D0" w14:textId="77777777" w:rsidR="00E279E3" w:rsidRPr="008467F1" w:rsidRDefault="00E279E3" w:rsidP="00E279E3">
      <w:pPr>
        <w:rPr>
          <w:sz w:val="12"/>
          <w:szCs w:val="12"/>
        </w:rPr>
      </w:pPr>
    </w:p>
    <w:p w14:paraId="352B6BC5" w14:textId="77777777" w:rsidR="00E279E3" w:rsidRPr="005327AC" w:rsidRDefault="00E279E3" w:rsidP="00E279E3">
      <w:pPr>
        <w:pStyle w:val="ListParagraph"/>
        <w:numPr>
          <w:ilvl w:val="0"/>
          <w:numId w:val="20"/>
        </w:numPr>
      </w:pPr>
      <w:r w:rsidRPr="005327AC">
        <w:t xml:space="preserve">Robert Jervis, “The Utility of Nuclear Deterrence,” In Art and Jervis, International Politics </w:t>
      </w:r>
      <w:r w:rsidRPr="005327AC">
        <w:rPr>
          <w:b/>
          <w:u w:val="single"/>
        </w:rPr>
        <w:t>6</w:t>
      </w:r>
      <w:r w:rsidRPr="005327AC">
        <w:rPr>
          <w:b/>
          <w:u w:val="single"/>
          <w:vertAlign w:val="superscript"/>
        </w:rPr>
        <w:t>th</w:t>
      </w:r>
      <w:r w:rsidRPr="005327AC">
        <w:rPr>
          <w:b/>
          <w:u w:val="single"/>
        </w:rPr>
        <w:t xml:space="preserve"> edition</w:t>
      </w:r>
      <w:r w:rsidRPr="005327AC">
        <w:t xml:space="preserve"> (2003), pp. 221-229. (9 pp.)</w:t>
      </w:r>
    </w:p>
    <w:p w14:paraId="5DD24718" w14:textId="77777777" w:rsidR="00E279E3" w:rsidRPr="008467F1" w:rsidRDefault="00E279E3" w:rsidP="00E279E3">
      <w:pPr>
        <w:pStyle w:val="ListParagraph"/>
        <w:numPr>
          <w:ilvl w:val="0"/>
          <w:numId w:val="20"/>
        </w:numPr>
      </w:pPr>
      <w:r w:rsidRPr="008467F1">
        <w:t>Thomas Schelling. 1966. “The Diplomacy of Violence,” In Art and Jervis, pp. 139-152. (14 pp.)</w:t>
      </w:r>
    </w:p>
    <w:p w14:paraId="66FE5E73" w14:textId="77777777" w:rsidR="00E279E3" w:rsidRPr="008467F1" w:rsidRDefault="00E279E3" w:rsidP="00E279E3">
      <w:pPr>
        <w:pStyle w:val="ListParagraph"/>
        <w:numPr>
          <w:ilvl w:val="0"/>
          <w:numId w:val="20"/>
        </w:numPr>
      </w:pPr>
      <w:r w:rsidRPr="008467F1">
        <w:t>John Mueller, “The Irrelevance of Nuclear Weapons,” International Security 13:2 (Autumn1988), pp. 55-79. (24 pp.)</w:t>
      </w:r>
    </w:p>
    <w:p w14:paraId="477A4FD9" w14:textId="77777777" w:rsidR="00E279E3" w:rsidRPr="002B1897" w:rsidRDefault="00E279E3" w:rsidP="00E279E3">
      <w:pPr>
        <w:pStyle w:val="ListParagraph"/>
        <w:numPr>
          <w:ilvl w:val="0"/>
          <w:numId w:val="20"/>
        </w:numPr>
      </w:pPr>
      <w:r w:rsidRPr="002B1897">
        <w:t>A Fursenko and T. Naftali. 2006. “Cuban Missile Crisis,” Khrushchev’s Cold War: The Inside Story of an American Adversary (2006), pp.465-93. (28 pp.)</w:t>
      </w:r>
    </w:p>
    <w:p w14:paraId="3A560B27" w14:textId="77777777" w:rsidR="00E279E3" w:rsidRPr="008467F1" w:rsidRDefault="00E279E3" w:rsidP="00E279E3">
      <w:pPr>
        <w:pStyle w:val="ListParagraph"/>
        <w:numPr>
          <w:ilvl w:val="0"/>
          <w:numId w:val="20"/>
        </w:numPr>
      </w:pPr>
      <w:r w:rsidRPr="008467F1">
        <w:t>Ron Rosenblum, “</w:t>
      </w:r>
      <w:hyperlink r:id="rId12" w:history="1">
        <w:r w:rsidRPr="008467F1">
          <w:rPr>
            <w:rStyle w:val="Hyperlink"/>
          </w:rPr>
          <w:t>The Return of the Doomsday Machine?</w:t>
        </w:r>
      </w:hyperlink>
      <w:r w:rsidRPr="008467F1">
        <w:t>” Slate (31 August 2007). (2pp.)</w:t>
      </w:r>
    </w:p>
    <w:p w14:paraId="6583C3B2" w14:textId="77777777" w:rsidR="001D191E" w:rsidRDefault="001D191E" w:rsidP="001D191E">
      <w:pPr>
        <w:pStyle w:val="ListParagraph"/>
        <w:rPr>
          <w:highlight w:val="yellow"/>
        </w:rPr>
      </w:pPr>
    </w:p>
    <w:p w14:paraId="11F6B069" w14:textId="4B7F1635" w:rsidR="00E279E3" w:rsidRPr="001D191E" w:rsidRDefault="001D191E" w:rsidP="00E279E3">
      <w:pPr>
        <w:pStyle w:val="ListParagraph"/>
        <w:numPr>
          <w:ilvl w:val="0"/>
          <w:numId w:val="20"/>
        </w:numPr>
      </w:pPr>
      <w:r w:rsidRPr="001D191E">
        <w:t xml:space="preserve">[OPTIONAL] </w:t>
      </w:r>
      <w:r w:rsidR="00E279E3" w:rsidRPr="001D191E">
        <w:t>Scott Sagan and Kenneth Waltz, “</w:t>
      </w:r>
      <w:hyperlink r:id="rId13" w:history="1">
        <w:r w:rsidR="00E279E3" w:rsidRPr="001D191E">
          <w:rPr>
            <w:rStyle w:val="Hyperlink"/>
          </w:rPr>
          <w:t>The Great Debate: Is Nuclear Zero the Best Option</w:t>
        </w:r>
      </w:hyperlink>
      <w:r w:rsidR="00E279E3" w:rsidRPr="001D191E">
        <w:t>,” The National Interest (Sept/Oct 2010), (Sagan Says Yes, Waltz Says No, Sagan Responds, Waltz Responds) (12 pp.)</w:t>
      </w:r>
    </w:p>
    <w:p w14:paraId="3FDA6C6F" w14:textId="77777777" w:rsidR="00E279E3" w:rsidRDefault="00E279E3" w:rsidP="00E279E3">
      <w:pPr>
        <w:rPr>
          <w:i/>
        </w:rPr>
      </w:pPr>
    </w:p>
    <w:p w14:paraId="397EB252" w14:textId="77777777" w:rsidR="00E279E3" w:rsidRPr="00BC0AF7" w:rsidRDefault="00E279E3" w:rsidP="00E279E3">
      <w:pPr>
        <w:rPr>
          <w:i/>
        </w:rPr>
      </w:pPr>
    </w:p>
    <w:p w14:paraId="4C8BBF04" w14:textId="77777777" w:rsidR="00E279E3" w:rsidRPr="008467F1" w:rsidRDefault="00884A0F" w:rsidP="00E279E3">
      <w:pPr>
        <w:ind w:left="1440" w:hanging="1440"/>
        <w:rPr>
          <w:b/>
        </w:rPr>
      </w:pPr>
      <w:r>
        <w:rPr>
          <w:i/>
        </w:rPr>
        <w:t>Nov. 3</w:t>
      </w:r>
      <w:r w:rsidR="00E279E3">
        <w:tab/>
      </w:r>
      <w:r w:rsidR="00E279E3" w:rsidRPr="008467F1">
        <w:rPr>
          <w:b/>
          <w:smallCaps/>
        </w:rPr>
        <w:t>Limited War:  Why Do Big Countries Fight (and Lose) Small Wars?</w:t>
      </w:r>
    </w:p>
    <w:p w14:paraId="282BE461" w14:textId="77777777" w:rsidR="00E279E3" w:rsidRPr="008467F1" w:rsidRDefault="00E279E3" w:rsidP="00E279E3">
      <w:pPr>
        <w:pStyle w:val="ListParagraph"/>
        <w:rPr>
          <w:sz w:val="12"/>
          <w:szCs w:val="12"/>
        </w:rPr>
      </w:pPr>
    </w:p>
    <w:p w14:paraId="36E5349B" w14:textId="77777777" w:rsidR="00E279E3" w:rsidRPr="008467F1" w:rsidRDefault="00E279E3" w:rsidP="00E279E3">
      <w:pPr>
        <w:pStyle w:val="ListParagraph"/>
        <w:numPr>
          <w:ilvl w:val="0"/>
          <w:numId w:val="21"/>
        </w:numPr>
      </w:pPr>
      <w:r w:rsidRPr="008467F1">
        <w:t>Leslie Gelb and Richard Betts, “Vietnam: The System Worked,” Foreign Policy 3 (Summer 1971), 140-67. (28 pp.)</w:t>
      </w:r>
    </w:p>
    <w:p w14:paraId="121FF035" w14:textId="77777777" w:rsidR="00E279E3" w:rsidRPr="008467F1" w:rsidRDefault="00E279E3" w:rsidP="00E279E3">
      <w:pPr>
        <w:pStyle w:val="ListParagraph"/>
        <w:numPr>
          <w:ilvl w:val="0"/>
          <w:numId w:val="21"/>
        </w:numPr>
      </w:pPr>
      <w:r w:rsidRPr="008467F1">
        <w:lastRenderedPageBreak/>
        <w:t>Gary R. Hess, “Nixon-Kissinger and the Ending of the War: A “Lost Victory” or “Neither Peace Nor Honor”?” in Vietnam: Explaining America’s Lost War (Blackwell, 2009), pp. 179-206. (27 pp.)</w:t>
      </w:r>
    </w:p>
    <w:p w14:paraId="6E4EE92F" w14:textId="77777777" w:rsidR="00E279E3" w:rsidRPr="008467F1" w:rsidRDefault="00E279E3" w:rsidP="00E279E3">
      <w:pPr>
        <w:pStyle w:val="ListParagraph"/>
        <w:numPr>
          <w:ilvl w:val="0"/>
          <w:numId w:val="21"/>
        </w:numPr>
      </w:pPr>
      <w:r w:rsidRPr="008467F1">
        <w:t>Thomas H. Johnson and M. Chris Mason, “</w:t>
      </w:r>
      <w:hyperlink r:id="rId14" w:history="1">
        <w:r w:rsidRPr="008467F1">
          <w:rPr>
            <w:rStyle w:val="Hyperlink"/>
          </w:rPr>
          <w:t>Afghanistan and the Vietnam Template</w:t>
        </w:r>
      </w:hyperlink>
      <w:r w:rsidRPr="008467F1">
        <w:t xml:space="preserve">,” Military Review (November-December 2009), pp. 2-14. (12 pp.) </w:t>
      </w:r>
    </w:p>
    <w:p w14:paraId="6454984C" w14:textId="77777777" w:rsidR="00E279E3" w:rsidRPr="008467F1" w:rsidRDefault="00E279E3" w:rsidP="00E279E3">
      <w:pPr>
        <w:pStyle w:val="ListParagraph"/>
        <w:numPr>
          <w:ilvl w:val="0"/>
          <w:numId w:val="21"/>
        </w:numPr>
      </w:pPr>
      <w:r w:rsidRPr="008467F1">
        <w:t>Gordon Goldstein, “</w:t>
      </w:r>
      <w:hyperlink r:id="rId15" w:history="1">
        <w:r w:rsidRPr="008467F1">
          <w:rPr>
            <w:rStyle w:val="Hyperlink"/>
          </w:rPr>
          <w:t>Vietnam, Afghanistan and Learning from History</w:t>
        </w:r>
      </w:hyperlink>
      <w:r w:rsidRPr="008467F1">
        <w:t>,” Los Angeles Times (12 November 2009). (1 pp.)</w:t>
      </w:r>
    </w:p>
    <w:p w14:paraId="1C638EED" w14:textId="77777777" w:rsidR="00E279E3" w:rsidRPr="008467F1" w:rsidRDefault="00E279E3" w:rsidP="00E279E3">
      <w:pPr>
        <w:pStyle w:val="ListParagraph"/>
        <w:numPr>
          <w:ilvl w:val="0"/>
          <w:numId w:val="21"/>
        </w:numPr>
      </w:pPr>
      <w:r w:rsidRPr="008467F1">
        <w:t>Frederick Kagan, “</w:t>
      </w:r>
      <w:hyperlink r:id="rId16" w:history="1">
        <w:r w:rsidRPr="008467F1">
          <w:rPr>
            <w:rStyle w:val="Hyperlink"/>
          </w:rPr>
          <w:t>Afghanistan is not Vietnam</w:t>
        </w:r>
      </w:hyperlink>
      <w:r w:rsidRPr="008467F1">
        <w:t>,” Newsweek (11 February 2009). (3 pp.)</w:t>
      </w:r>
    </w:p>
    <w:p w14:paraId="65C943EE" w14:textId="77777777" w:rsidR="00466FBE" w:rsidRPr="008467F1" w:rsidRDefault="00466FBE" w:rsidP="00466FBE">
      <w:pPr>
        <w:pStyle w:val="ListParagraph"/>
        <w:numPr>
          <w:ilvl w:val="0"/>
          <w:numId w:val="21"/>
        </w:numPr>
      </w:pPr>
      <w:r w:rsidRPr="008467F1">
        <w:t>“</w:t>
      </w:r>
      <w:hyperlink r:id="rId17" w:history="1">
        <w:r w:rsidRPr="008467F1">
          <w:rPr>
            <w:rStyle w:val="Hyperlink"/>
          </w:rPr>
          <w:t>The State of the War</w:t>
        </w:r>
      </w:hyperlink>
      <w:r w:rsidRPr="008467F1">
        <w:t>”, New York Times editorial (12 August 2010). (3 pp.)</w:t>
      </w:r>
    </w:p>
    <w:p w14:paraId="1563DFD0" w14:textId="77777777" w:rsidR="00466FBE" w:rsidRPr="00466FBE" w:rsidRDefault="00466FBE" w:rsidP="00466FBE">
      <w:pPr>
        <w:rPr>
          <w:highlight w:val="yellow"/>
        </w:rPr>
      </w:pPr>
    </w:p>
    <w:p w14:paraId="326EE27B" w14:textId="361E9F0C" w:rsidR="00E279E3" w:rsidRPr="00DF40D7" w:rsidRDefault="00466FBE" w:rsidP="00E279E3">
      <w:pPr>
        <w:pStyle w:val="ListParagraph"/>
        <w:numPr>
          <w:ilvl w:val="0"/>
          <w:numId w:val="21"/>
        </w:numPr>
      </w:pPr>
      <w:r>
        <w:rPr>
          <w:highlight w:val="yellow"/>
        </w:rPr>
        <w:t>[</w:t>
      </w:r>
      <w:r w:rsidRPr="00DF40D7">
        <w:t xml:space="preserve">OPTIONAL]  </w:t>
      </w:r>
      <w:r w:rsidR="00E279E3" w:rsidRPr="00DF40D7">
        <w:t xml:space="preserve">President Obama’s </w:t>
      </w:r>
      <w:hyperlink r:id="rId18" w:history="1">
        <w:r w:rsidR="00E279E3" w:rsidRPr="00DF40D7">
          <w:rPr>
            <w:rStyle w:val="Hyperlink"/>
          </w:rPr>
          <w:t>Speech</w:t>
        </w:r>
      </w:hyperlink>
      <w:r w:rsidR="00E279E3" w:rsidRPr="00DF40D7">
        <w:t xml:space="preserve"> at West Point, 1 December 2009. Transcript and video at:  (8 pp.) </w:t>
      </w:r>
    </w:p>
    <w:p w14:paraId="2B03E3CA" w14:textId="4FC85E8F" w:rsidR="00E279E3" w:rsidRPr="00DF40D7" w:rsidRDefault="00466FBE" w:rsidP="00E279E3">
      <w:pPr>
        <w:pStyle w:val="ListParagraph"/>
        <w:numPr>
          <w:ilvl w:val="0"/>
          <w:numId w:val="21"/>
        </w:numPr>
      </w:pPr>
      <w:r w:rsidRPr="00DF40D7">
        <w:t xml:space="preserve">[OPTIONAL]  </w:t>
      </w:r>
      <w:r w:rsidR="00E279E3" w:rsidRPr="00DF40D7">
        <w:t xml:space="preserve">Paul Pillar and John Nagl, “The Great Debate: Is Afghanistan the Right War?” The National Interest (March/April 2010), pp. 33-41. (9 pp.) </w:t>
      </w:r>
      <w:hyperlink r:id="rId19" w:history="1">
        <w:r w:rsidR="00E279E3" w:rsidRPr="00DF40D7">
          <w:rPr>
            <w:rStyle w:val="Hyperlink"/>
          </w:rPr>
          <w:t>http://nationalinterest.org/greatdebate/debating-afghanistan/afghanistan-war-pillar-3796</w:t>
        </w:r>
      </w:hyperlink>
    </w:p>
    <w:p w14:paraId="4F46800B" w14:textId="3BFBA4CE" w:rsidR="00E279E3" w:rsidRPr="008467F1" w:rsidRDefault="00DF40D7" w:rsidP="00E279E3">
      <w:pPr>
        <w:pStyle w:val="ListParagraph"/>
        <w:numPr>
          <w:ilvl w:val="0"/>
          <w:numId w:val="21"/>
        </w:numPr>
      </w:pPr>
      <w:r>
        <w:t xml:space="preserve">[OPTIONAL] </w:t>
      </w:r>
      <w:r w:rsidR="00E279E3" w:rsidRPr="008467F1">
        <w:t>Michael O’Hanlon, “Staying Power,” Foreign Affairs (Sept/Oct 2010), pp. 63-79. (17 pp.)</w:t>
      </w:r>
    </w:p>
    <w:p w14:paraId="5EAB00A8" w14:textId="77777777" w:rsidR="00E279E3" w:rsidRDefault="00E279E3" w:rsidP="00E279E3">
      <w:pPr>
        <w:rPr>
          <w:i/>
        </w:rPr>
      </w:pPr>
    </w:p>
    <w:p w14:paraId="614524FD" w14:textId="77777777" w:rsidR="00E279E3" w:rsidRPr="00BC0AF7" w:rsidRDefault="00E279E3" w:rsidP="00E279E3">
      <w:pPr>
        <w:rPr>
          <w:i/>
        </w:rPr>
      </w:pPr>
    </w:p>
    <w:p w14:paraId="34A8F6B2" w14:textId="77777777" w:rsidR="00E279E3" w:rsidRDefault="00884A0F" w:rsidP="00E279E3">
      <w:pPr>
        <w:ind w:left="1440" w:hanging="1440"/>
      </w:pPr>
      <w:r>
        <w:rPr>
          <w:i/>
        </w:rPr>
        <w:t>Nov. 7</w:t>
      </w:r>
      <w:r w:rsidR="00E279E3">
        <w:tab/>
      </w:r>
      <w:r w:rsidR="00E279E3" w:rsidRPr="007E2418">
        <w:rPr>
          <w:b/>
          <w:smallCaps/>
        </w:rPr>
        <w:t xml:space="preserve">Globalization:  Free or Fair?  Why Trade Seems More Controversial Today </w:t>
      </w:r>
      <w:r w:rsidR="00E279E3">
        <w:rPr>
          <w:b/>
          <w:smallCaps/>
        </w:rPr>
        <w:t xml:space="preserve"> </w:t>
      </w:r>
      <w:r w:rsidR="00E279E3" w:rsidRPr="008467F1">
        <w:t xml:space="preserve">(82 pp.) </w:t>
      </w:r>
    </w:p>
    <w:p w14:paraId="510CDD02" w14:textId="77777777" w:rsidR="00E279E3" w:rsidRPr="007E2418" w:rsidRDefault="00E279E3" w:rsidP="00E279E3">
      <w:pPr>
        <w:pStyle w:val="ListParagraph"/>
        <w:rPr>
          <w:sz w:val="12"/>
          <w:szCs w:val="12"/>
        </w:rPr>
      </w:pPr>
    </w:p>
    <w:p w14:paraId="6B64D617" w14:textId="77777777" w:rsidR="00E279E3" w:rsidRPr="008467F1" w:rsidRDefault="00E279E3" w:rsidP="00E279E3">
      <w:pPr>
        <w:pStyle w:val="ListParagraph"/>
        <w:numPr>
          <w:ilvl w:val="0"/>
          <w:numId w:val="22"/>
        </w:numPr>
        <w:rPr>
          <w:b/>
        </w:rPr>
      </w:pPr>
      <w:r w:rsidRPr="008467F1">
        <w:t xml:space="preserve">Lairson and Skidmore, </w:t>
      </w:r>
      <w:r w:rsidRPr="008467F1">
        <w:rPr>
          <w:i/>
        </w:rPr>
        <w:t>International Political Economy</w:t>
      </w:r>
      <w:r w:rsidRPr="008467F1">
        <w:t>, pp. 168-170, 178-183, 226-229, 285-295. (22 pp.)</w:t>
      </w:r>
    </w:p>
    <w:p w14:paraId="167625EC" w14:textId="77777777" w:rsidR="00E279E3" w:rsidRPr="008467F1" w:rsidRDefault="00E279E3" w:rsidP="00E279E3">
      <w:pPr>
        <w:pStyle w:val="ListParagraph"/>
        <w:numPr>
          <w:ilvl w:val="0"/>
          <w:numId w:val="22"/>
        </w:numPr>
      </w:pPr>
      <w:r w:rsidRPr="008467F1">
        <w:t>Jeffrey Frankel, “Globalization of the Economy,” in Art and Jervis, pp. 303-319. (16 pp.)</w:t>
      </w:r>
    </w:p>
    <w:p w14:paraId="4D99820F" w14:textId="77777777" w:rsidR="00E279E3" w:rsidRPr="008467F1" w:rsidRDefault="00E279E3" w:rsidP="00E279E3">
      <w:pPr>
        <w:pStyle w:val="ListParagraph"/>
        <w:numPr>
          <w:ilvl w:val="0"/>
          <w:numId w:val="22"/>
        </w:numPr>
      </w:pPr>
      <w:r w:rsidRPr="008467F1">
        <w:t>Pankaj Ghemawat, “Why the World Isn’t Flat,” in Art and Jervis, pp. 319-324. (6 pp.)</w:t>
      </w:r>
    </w:p>
    <w:p w14:paraId="151F638D" w14:textId="77777777" w:rsidR="00E279E3" w:rsidRPr="00F759CA" w:rsidRDefault="00E279E3" w:rsidP="00E279E3">
      <w:pPr>
        <w:pStyle w:val="ListParagraph"/>
        <w:numPr>
          <w:ilvl w:val="0"/>
          <w:numId w:val="22"/>
        </w:numPr>
      </w:pPr>
      <w:r w:rsidRPr="00F759CA">
        <w:t>John Mickelthwait and Adrian Woolridge, “Why the Globalization Backlash is Stupid,” in Art and Jervis, pp. 333-340. (7 pp.)</w:t>
      </w:r>
    </w:p>
    <w:p w14:paraId="703AD37D" w14:textId="77777777" w:rsidR="00E279E3" w:rsidRPr="001B6FE0" w:rsidRDefault="00E279E3" w:rsidP="00E279E3">
      <w:pPr>
        <w:pStyle w:val="ListParagraph"/>
        <w:numPr>
          <w:ilvl w:val="0"/>
          <w:numId w:val="22"/>
        </w:numPr>
      </w:pPr>
      <w:r w:rsidRPr="001B6FE0">
        <w:t>Rawi Abdelal and Adam Segal, “Has Globalization Passed its Peak,” in Art and Jervis, pp. 340-346. (7 p.)</w:t>
      </w:r>
    </w:p>
    <w:p w14:paraId="1BD05640" w14:textId="77777777" w:rsidR="00E279E3" w:rsidRPr="008467F1" w:rsidRDefault="00E279E3" w:rsidP="00E279E3">
      <w:pPr>
        <w:pStyle w:val="ListParagraph"/>
        <w:numPr>
          <w:ilvl w:val="0"/>
          <w:numId w:val="22"/>
        </w:numPr>
      </w:pPr>
      <w:r w:rsidRPr="008467F1">
        <w:t xml:space="preserve">“China and the WTO: Let me Entertain You,” </w:t>
      </w:r>
      <w:r w:rsidRPr="008467F1">
        <w:rPr>
          <w:i/>
        </w:rPr>
        <w:t xml:space="preserve">Economist </w:t>
      </w:r>
      <w:r w:rsidRPr="008467F1">
        <w:t>(13 August 2009). (1 p.)</w:t>
      </w:r>
    </w:p>
    <w:p w14:paraId="2289A833" w14:textId="77777777" w:rsidR="00E279E3" w:rsidRPr="008467F1" w:rsidRDefault="00E279E3" w:rsidP="00E279E3">
      <w:pPr>
        <w:pStyle w:val="ListParagraph"/>
        <w:numPr>
          <w:ilvl w:val="0"/>
          <w:numId w:val="22"/>
        </w:numPr>
      </w:pPr>
      <w:r w:rsidRPr="008467F1">
        <w:t xml:space="preserve">Jagdish Bhagwati and Arvind Panagariya, “Legal Trade Barriers Must Be Kept in Check,” </w:t>
      </w:r>
      <w:r w:rsidRPr="008467F1">
        <w:rPr>
          <w:i/>
        </w:rPr>
        <w:t xml:space="preserve">Financial Times </w:t>
      </w:r>
      <w:r w:rsidRPr="008467F1">
        <w:t>(12 June 2009). (1 p.)</w:t>
      </w:r>
    </w:p>
    <w:p w14:paraId="0E0DF2FF" w14:textId="77777777" w:rsidR="00E279E3" w:rsidRPr="008467F1" w:rsidRDefault="00E279E3" w:rsidP="00E279E3">
      <w:pPr>
        <w:pStyle w:val="ListParagraph"/>
        <w:numPr>
          <w:ilvl w:val="0"/>
          <w:numId w:val="22"/>
        </w:numPr>
        <w:rPr>
          <w:i/>
          <w:iCs/>
        </w:rPr>
      </w:pPr>
      <w:r w:rsidRPr="008467F1">
        <w:t xml:space="preserve">Dani Rodrik, “Sense and Nonsense in the Globalization Debate,” </w:t>
      </w:r>
      <w:r w:rsidRPr="008467F1">
        <w:rPr>
          <w:i/>
          <w:iCs/>
        </w:rPr>
        <w:t xml:space="preserve">Foreign Policy </w:t>
      </w:r>
      <w:r w:rsidRPr="008467F1">
        <w:rPr>
          <w:iCs/>
        </w:rPr>
        <w:t xml:space="preserve">No.107 (Summer, 1997), pp. 19-37 (19 pp.) </w:t>
      </w:r>
    </w:p>
    <w:p w14:paraId="482FCC65" w14:textId="77777777" w:rsidR="00E279E3" w:rsidRDefault="00E279E3" w:rsidP="00E279E3"/>
    <w:p w14:paraId="553D05AB" w14:textId="77777777" w:rsidR="00DA5FA4" w:rsidRPr="00DA5FA4" w:rsidRDefault="00DA5FA4" w:rsidP="00DA5FA4">
      <w:pPr>
        <w:pStyle w:val="ListParagraph"/>
        <w:numPr>
          <w:ilvl w:val="0"/>
          <w:numId w:val="22"/>
        </w:numPr>
      </w:pPr>
      <w:r w:rsidRPr="00DA5FA4">
        <w:t xml:space="preserve">[OPTIONAL]  Judith Hippler Bello, “The WTO Dispute Settlement Understanding: Less is More,” </w:t>
      </w:r>
      <w:r w:rsidRPr="00DA5FA4">
        <w:rPr>
          <w:i/>
        </w:rPr>
        <w:t xml:space="preserve">American Journal of </w:t>
      </w:r>
      <w:proofErr w:type="gramStart"/>
      <w:r w:rsidRPr="00DA5FA4">
        <w:rPr>
          <w:i/>
        </w:rPr>
        <w:t xml:space="preserve">International Law </w:t>
      </w:r>
      <w:r w:rsidRPr="00DA5FA4">
        <w:t>90:3</w:t>
      </w:r>
      <w:proofErr w:type="gramEnd"/>
      <w:r w:rsidRPr="00DA5FA4">
        <w:t xml:space="preserve"> (July 1996), pp. 416-418. (3 pp.)</w:t>
      </w:r>
    </w:p>
    <w:p w14:paraId="7E7E7AE1" w14:textId="77777777" w:rsidR="00DA5FA4" w:rsidRDefault="00DA5FA4" w:rsidP="00E279E3"/>
    <w:p w14:paraId="6CC11B86" w14:textId="77777777" w:rsidR="00E279E3" w:rsidRPr="008467F1" w:rsidRDefault="00E279E3" w:rsidP="00E279E3"/>
    <w:p w14:paraId="4749E5E8" w14:textId="77777777" w:rsidR="00E279E3" w:rsidRPr="00503B0F" w:rsidRDefault="00884A0F" w:rsidP="00E279E3">
      <w:r>
        <w:rPr>
          <w:i/>
        </w:rPr>
        <w:t>Nov. 10</w:t>
      </w:r>
      <w:r w:rsidR="00E279E3">
        <w:tab/>
      </w:r>
      <w:r w:rsidR="00E279E3" w:rsidRPr="00503B0F">
        <w:rPr>
          <w:b/>
          <w:smallCaps/>
        </w:rPr>
        <w:t>Protecting the Global Environment:  Why So Difficult</w:t>
      </w:r>
      <w:r w:rsidR="00E279E3">
        <w:rPr>
          <w:b/>
          <w:smallCaps/>
        </w:rPr>
        <w:t xml:space="preserve">?  </w:t>
      </w:r>
      <w:r w:rsidR="00E279E3" w:rsidRPr="00503B0F">
        <w:t xml:space="preserve">(75 pp.)  </w:t>
      </w:r>
    </w:p>
    <w:p w14:paraId="7905C36E" w14:textId="77777777" w:rsidR="00E279E3" w:rsidRPr="00503B0F" w:rsidRDefault="00E279E3" w:rsidP="00E279E3">
      <w:pPr>
        <w:rPr>
          <w:sz w:val="12"/>
          <w:szCs w:val="12"/>
        </w:rPr>
      </w:pPr>
    </w:p>
    <w:p w14:paraId="6D273E1B" w14:textId="77777777" w:rsidR="00E279E3" w:rsidRPr="00503B0F" w:rsidRDefault="00E279E3" w:rsidP="00E279E3">
      <w:pPr>
        <w:pStyle w:val="ListParagraph"/>
        <w:numPr>
          <w:ilvl w:val="0"/>
          <w:numId w:val="23"/>
        </w:numPr>
      </w:pPr>
      <w:r w:rsidRPr="00503B0F">
        <w:t>Garrett Hardin, “The Tragedy of the Commons,” in Art and Jervis, pp. 347-353. (6 pp.)</w:t>
      </w:r>
    </w:p>
    <w:p w14:paraId="1586886C" w14:textId="77777777" w:rsidR="00E279E3" w:rsidRPr="00503B0F" w:rsidRDefault="00E279E3" w:rsidP="00E279E3">
      <w:pPr>
        <w:pStyle w:val="ListParagraph"/>
        <w:numPr>
          <w:ilvl w:val="0"/>
          <w:numId w:val="23"/>
        </w:numPr>
      </w:pPr>
      <w:r w:rsidRPr="00503B0F">
        <w:t xml:space="preserve">Elinor Ostrom, “Reflections on the Commons,” in Ostrim, </w:t>
      </w:r>
      <w:r w:rsidRPr="00503B0F">
        <w:rPr>
          <w:i/>
        </w:rPr>
        <w:t xml:space="preserve">Governing the Commons: The Evolution of Institutions for Collective Action </w:t>
      </w:r>
      <w:r w:rsidRPr="00503B0F">
        <w:t>(1990), pp. 2-21. (20 pp.)</w:t>
      </w:r>
    </w:p>
    <w:p w14:paraId="652C5F63" w14:textId="77777777" w:rsidR="00E279E3" w:rsidRPr="00503B0F" w:rsidRDefault="00E279E3" w:rsidP="00E279E3">
      <w:pPr>
        <w:pStyle w:val="ListParagraph"/>
        <w:numPr>
          <w:ilvl w:val="0"/>
          <w:numId w:val="23"/>
        </w:numPr>
      </w:pPr>
      <w:r w:rsidRPr="00503B0F">
        <w:lastRenderedPageBreak/>
        <w:t>Gareth Porter and Janet Welsh Brown, “The Development of Environmental Regimes: Nine Case Studies,” (selections) in Porter and Brown eds</w:t>
      </w:r>
      <w:proofErr w:type="gramStart"/>
      <w:r w:rsidRPr="00503B0F">
        <w:t>.,</w:t>
      </w:r>
      <w:proofErr w:type="gramEnd"/>
      <w:r w:rsidRPr="00503B0F">
        <w:t xml:space="preserve"> </w:t>
      </w:r>
      <w:r w:rsidRPr="00503B0F">
        <w:rPr>
          <w:i/>
        </w:rPr>
        <w:t>Global Environmental Politics</w:t>
      </w:r>
      <w:r w:rsidRPr="00503B0F">
        <w:t>, (1996), pp. 67-81, 105-106. (16 pp.)</w:t>
      </w:r>
    </w:p>
    <w:p w14:paraId="2877BD99" w14:textId="77777777" w:rsidR="00E279E3" w:rsidRPr="00503B0F" w:rsidRDefault="00E279E3" w:rsidP="00E279E3">
      <w:pPr>
        <w:pStyle w:val="ListParagraph"/>
        <w:numPr>
          <w:ilvl w:val="0"/>
          <w:numId w:val="23"/>
        </w:numPr>
      </w:pPr>
      <w:r w:rsidRPr="00503B0F">
        <w:t xml:space="preserve">James Prosek, “Give Thanks for… Eel?” </w:t>
      </w:r>
      <w:r w:rsidRPr="00503B0F">
        <w:rPr>
          <w:i/>
        </w:rPr>
        <w:t xml:space="preserve">New York Times, </w:t>
      </w:r>
      <w:r w:rsidRPr="00503B0F">
        <w:t xml:space="preserve">Nov. 24, 2010 </w:t>
      </w:r>
      <w:hyperlink r:id="rId20" w:history="1">
        <w:r w:rsidRPr="00503B0F">
          <w:rPr>
            <w:rStyle w:val="Hyperlink"/>
          </w:rPr>
          <w:t>http://www.nytimes.com/2010/11/25/opinion/25prosek.html#</w:t>
        </w:r>
      </w:hyperlink>
      <w:r w:rsidRPr="00503B0F">
        <w:t xml:space="preserve"> (2 pp.)</w:t>
      </w:r>
    </w:p>
    <w:p w14:paraId="14B15932" w14:textId="77777777" w:rsidR="00E279E3" w:rsidRDefault="00E279E3" w:rsidP="00E279E3"/>
    <w:p w14:paraId="57104C2D" w14:textId="77777777" w:rsidR="00542191" w:rsidRPr="00542191" w:rsidRDefault="00542191" w:rsidP="00542191">
      <w:pPr>
        <w:pStyle w:val="ListParagraph"/>
        <w:numPr>
          <w:ilvl w:val="0"/>
          <w:numId w:val="23"/>
        </w:numPr>
      </w:pPr>
      <w:r w:rsidRPr="00542191">
        <w:t xml:space="preserve">[OPTIONAL] Kenneth Oye and James H. Maxwell, “Self-Interest and Environmental Management,” in Robert Keohane and Elinor Ostrom, </w:t>
      </w:r>
      <w:proofErr w:type="gramStart"/>
      <w:r w:rsidRPr="00542191">
        <w:t>eds</w:t>
      </w:r>
      <w:proofErr w:type="gramEnd"/>
      <w:r w:rsidRPr="00542191">
        <w:t xml:space="preserve">. </w:t>
      </w:r>
      <w:r w:rsidRPr="00542191">
        <w:rPr>
          <w:i/>
        </w:rPr>
        <w:t xml:space="preserve">Local Commons and Global Interdependence: Heterogeneity and Cooperation in Two Domains </w:t>
      </w:r>
      <w:r w:rsidRPr="00542191">
        <w:t>(1995), pp. 191-221. (31 pp.)</w:t>
      </w:r>
    </w:p>
    <w:p w14:paraId="7F2F5D04" w14:textId="77777777" w:rsidR="00542191" w:rsidRDefault="00542191" w:rsidP="00E279E3"/>
    <w:p w14:paraId="72B798FF" w14:textId="77777777" w:rsidR="00E279E3" w:rsidRPr="00503B0F" w:rsidRDefault="00E279E3" w:rsidP="00E279E3"/>
    <w:p w14:paraId="08755392" w14:textId="77777777" w:rsidR="00E279E3" w:rsidRPr="00CA0CC7" w:rsidRDefault="00CB0566" w:rsidP="00E279E3">
      <w:pPr>
        <w:ind w:left="1440" w:hanging="1440"/>
        <w:rPr>
          <w:b/>
        </w:rPr>
      </w:pPr>
      <w:r>
        <w:rPr>
          <w:i/>
        </w:rPr>
        <w:t>Nov. 14</w:t>
      </w:r>
      <w:r w:rsidR="00E279E3">
        <w:tab/>
      </w:r>
      <w:r w:rsidR="00E279E3" w:rsidRPr="00CA0CC7">
        <w:rPr>
          <w:b/>
          <w:smallCaps/>
        </w:rPr>
        <w:t xml:space="preserve">Human Rights:  </w:t>
      </w:r>
      <w:r w:rsidR="00E279E3">
        <w:rPr>
          <w:b/>
          <w:smallCaps/>
        </w:rPr>
        <w:t>What are the Rules We Should Follow?</w:t>
      </w:r>
    </w:p>
    <w:p w14:paraId="1813AEEE" w14:textId="77777777" w:rsidR="00E279E3" w:rsidRPr="00CA0CC7" w:rsidRDefault="00E279E3" w:rsidP="00E279E3">
      <w:pPr>
        <w:pStyle w:val="ListParagraph"/>
        <w:rPr>
          <w:sz w:val="12"/>
          <w:szCs w:val="12"/>
        </w:rPr>
      </w:pPr>
    </w:p>
    <w:p w14:paraId="462A9E5A" w14:textId="77777777" w:rsidR="00D63A4E" w:rsidRPr="005B2010" w:rsidRDefault="00D63A4E" w:rsidP="00D63A4E">
      <w:pPr>
        <w:pStyle w:val="ListParagraph"/>
        <w:numPr>
          <w:ilvl w:val="0"/>
          <w:numId w:val="24"/>
        </w:numPr>
        <w:rPr>
          <w:bCs/>
        </w:rPr>
      </w:pPr>
      <w:r>
        <w:rPr>
          <w:bCs/>
        </w:rPr>
        <w:t xml:space="preserve">Margaret </w:t>
      </w:r>
      <w:r w:rsidRPr="005B2010">
        <w:rPr>
          <w:bCs/>
        </w:rPr>
        <w:t xml:space="preserve">Keck and </w:t>
      </w:r>
      <w:r>
        <w:rPr>
          <w:bCs/>
        </w:rPr>
        <w:t xml:space="preserve">Kathryn </w:t>
      </w:r>
      <w:r w:rsidRPr="005B2010">
        <w:rPr>
          <w:bCs/>
        </w:rPr>
        <w:t>Sikkink</w:t>
      </w:r>
      <w:r>
        <w:rPr>
          <w:bCs/>
        </w:rPr>
        <w:t>.</w:t>
      </w:r>
      <w:r w:rsidRPr="005B2010">
        <w:rPr>
          <w:bCs/>
        </w:rPr>
        <w:t xml:space="preserve"> </w:t>
      </w:r>
      <w:r>
        <w:rPr>
          <w:bCs/>
        </w:rPr>
        <w:t>“</w:t>
      </w:r>
      <w:r w:rsidRPr="005B2010">
        <w:rPr>
          <w:bCs/>
        </w:rPr>
        <w:t>Transnational Activist Networks</w:t>
      </w:r>
      <w:r>
        <w:rPr>
          <w:bCs/>
        </w:rPr>
        <w:t>” in Art and Jervis, pp. 477-483.</w:t>
      </w:r>
    </w:p>
    <w:p w14:paraId="4CC6631D" w14:textId="77777777" w:rsidR="00E279E3" w:rsidRPr="00CA0CC7" w:rsidRDefault="00E279E3" w:rsidP="00E279E3">
      <w:pPr>
        <w:pStyle w:val="ListParagraph"/>
        <w:numPr>
          <w:ilvl w:val="0"/>
          <w:numId w:val="24"/>
        </w:numPr>
      </w:pPr>
      <w:r w:rsidRPr="00CA0CC7">
        <w:t>Gareth Evans and Mohammed Sahnoun </w:t>
      </w:r>
      <w:hyperlink r:id="rId21" w:history="1">
        <w:r w:rsidRPr="00CA0CC7">
          <w:rPr>
            <w:rStyle w:val="Hyperlink"/>
          </w:rPr>
          <w:t>“The Responsibility to Protect”</w:t>
        </w:r>
      </w:hyperlink>
      <w:r w:rsidRPr="00CA0CC7">
        <w:t> </w:t>
      </w:r>
      <w:r w:rsidRPr="00CA0CC7">
        <w:rPr>
          <w:i/>
          <w:iCs/>
        </w:rPr>
        <w:t>Foreign Affairs</w:t>
      </w:r>
      <w:r w:rsidRPr="00CA0CC7">
        <w:t> Nov/Dec 2002. Vol. 81 Issue 6, p99-110, (12 pp.)</w:t>
      </w:r>
    </w:p>
    <w:p w14:paraId="71D52B78" w14:textId="77777777" w:rsidR="00B47395" w:rsidRDefault="00E279E3" w:rsidP="00B47395">
      <w:pPr>
        <w:pStyle w:val="ListParagraph"/>
        <w:numPr>
          <w:ilvl w:val="0"/>
          <w:numId w:val="24"/>
        </w:numPr>
      </w:pPr>
      <w:r w:rsidRPr="00CA0CC7">
        <w:t xml:space="preserve">James Morrow, “When Do States Follow the Laws of War?” </w:t>
      </w:r>
      <w:r w:rsidRPr="00CA0CC7">
        <w:rPr>
          <w:i/>
        </w:rPr>
        <w:t>American Political Science Review</w:t>
      </w:r>
      <w:r w:rsidRPr="00CA0CC7">
        <w:t xml:space="preserve"> 101(3) (2007): 559-72. (14 pp.)</w:t>
      </w:r>
    </w:p>
    <w:p w14:paraId="64F7F9D7" w14:textId="77777777" w:rsidR="00E27435" w:rsidRPr="00E27435" w:rsidRDefault="00E27435" w:rsidP="00E27435">
      <w:pPr>
        <w:pStyle w:val="ListParagraph"/>
        <w:rPr>
          <w:highlight w:val="yellow"/>
        </w:rPr>
      </w:pPr>
    </w:p>
    <w:p w14:paraId="19F195EE" w14:textId="1838A91D" w:rsidR="00B47395" w:rsidRPr="00E27435" w:rsidRDefault="00E27435" w:rsidP="00B47395">
      <w:pPr>
        <w:pStyle w:val="ListParagraph"/>
        <w:numPr>
          <w:ilvl w:val="0"/>
          <w:numId w:val="24"/>
        </w:numPr>
      </w:pPr>
      <w:r w:rsidRPr="00E27435">
        <w:rPr>
          <w:rFonts w:cs="Times New Roman"/>
          <w:color w:val="000000"/>
          <w:szCs w:val="24"/>
        </w:rPr>
        <w:t xml:space="preserve">[OPTIONAL] </w:t>
      </w:r>
      <w:r w:rsidR="00B47395" w:rsidRPr="00E27435">
        <w:rPr>
          <w:rFonts w:cs="Times New Roman"/>
          <w:color w:val="000000"/>
          <w:szCs w:val="24"/>
        </w:rPr>
        <w:t xml:space="preserve">Christopher Hitchens, </w:t>
      </w:r>
      <w:r w:rsidR="00B47395" w:rsidRPr="00E27435">
        <w:rPr>
          <w:rFonts w:cs="Times New Roman"/>
          <w:i/>
          <w:color w:val="000000"/>
          <w:szCs w:val="24"/>
        </w:rPr>
        <w:t>The Trial of Henry Kissinger</w:t>
      </w:r>
      <w:r w:rsidR="00B47395" w:rsidRPr="00E27435">
        <w:rPr>
          <w:rFonts w:cs="Times New Roman"/>
          <w:color w:val="000000"/>
          <w:szCs w:val="24"/>
        </w:rPr>
        <w:t xml:space="preserve"> (2001), </w:t>
      </w:r>
      <w:r w:rsidR="00B30D1B" w:rsidRPr="00E27435">
        <w:rPr>
          <w:rFonts w:cs="Times New Roman"/>
          <w:color w:val="000000"/>
          <w:szCs w:val="24"/>
        </w:rPr>
        <w:t>ix-xi, 6-16, 25-43, 55-71, 127-</w:t>
      </w:r>
      <w:r w:rsidR="00B47395" w:rsidRPr="00E27435">
        <w:rPr>
          <w:rFonts w:cs="Times New Roman"/>
          <w:color w:val="000000"/>
          <w:szCs w:val="24"/>
        </w:rPr>
        <w:t>131. (45 pp.)</w:t>
      </w:r>
    </w:p>
    <w:p w14:paraId="64117E56" w14:textId="77777777" w:rsidR="00D63A4E" w:rsidRPr="00B61FD5" w:rsidRDefault="00D63A4E" w:rsidP="00D63A4E">
      <w:pPr>
        <w:pStyle w:val="ListParagraph"/>
        <w:numPr>
          <w:ilvl w:val="0"/>
          <w:numId w:val="24"/>
        </w:numPr>
        <w:rPr>
          <w:rFonts w:eastAsia="新細明體" w:cs="Times New Roman"/>
          <w:lang w:eastAsia="zh-TW"/>
        </w:rPr>
      </w:pPr>
      <w:r>
        <w:t xml:space="preserve">[OPTIONAL]  </w:t>
      </w:r>
      <w:r w:rsidRPr="00B61FD5">
        <w:rPr>
          <w:rFonts w:eastAsia="新細明體" w:cs="Times New Roman"/>
          <w:lang w:eastAsia="zh-TW"/>
        </w:rPr>
        <w:t xml:space="preserve">Michael Ignatieff, </w:t>
      </w:r>
      <w:r>
        <w:rPr>
          <w:rFonts w:eastAsia="新細明體" w:cs="Times New Roman"/>
          <w:lang w:eastAsia="zh-TW"/>
        </w:rPr>
        <w:t>“</w:t>
      </w:r>
      <w:r w:rsidRPr="003C4AA2">
        <w:rPr>
          <w:rFonts w:eastAsia="新細明體" w:cs="Times New Roman"/>
          <w:lang w:eastAsia="zh-TW"/>
        </w:rPr>
        <w:t>Human Rights as Idolatry</w:t>
      </w:r>
      <w:r>
        <w:rPr>
          <w:rFonts w:eastAsia="新細明體" w:cs="Times New Roman"/>
          <w:lang w:eastAsia="zh-TW"/>
        </w:rPr>
        <w:t>”</w:t>
      </w:r>
      <w:r w:rsidRPr="00B61FD5">
        <w:rPr>
          <w:rFonts w:eastAsia="新細明體" w:cs="Times New Roman"/>
          <w:lang w:eastAsia="zh-TW"/>
        </w:rPr>
        <w:t>, pp. 3</w:t>
      </w:r>
      <w:r>
        <w:rPr>
          <w:rFonts w:eastAsia="新細明體" w:cs="Times New Roman"/>
          <w:lang w:eastAsia="zh-TW"/>
        </w:rPr>
        <w:t>20-49</w:t>
      </w:r>
      <w:r w:rsidRPr="00B61FD5">
        <w:rPr>
          <w:rFonts w:eastAsia="新細明體" w:cs="Times New Roman"/>
          <w:lang w:eastAsia="zh-TW"/>
        </w:rPr>
        <w:t>.</w:t>
      </w:r>
    </w:p>
    <w:p w14:paraId="0E288FE6" w14:textId="77777777" w:rsidR="00E279E3" w:rsidRDefault="00E279E3" w:rsidP="00E279E3"/>
    <w:p w14:paraId="45251830" w14:textId="77777777" w:rsidR="00E279E3" w:rsidRDefault="00E279E3" w:rsidP="00E279E3"/>
    <w:p w14:paraId="3B1DB4AB" w14:textId="77777777" w:rsidR="00E279E3" w:rsidRPr="004B38FA" w:rsidRDefault="00CB0566" w:rsidP="00E279E3">
      <w:pPr>
        <w:ind w:left="1440" w:hanging="1440"/>
        <w:rPr>
          <w:i/>
        </w:rPr>
      </w:pPr>
      <w:r>
        <w:rPr>
          <w:i/>
        </w:rPr>
        <w:t>Nov. 17</w:t>
      </w:r>
      <w:r w:rsidR="00E279E3">
        <w:tab/>
      </w:r>
      <w:r w:rsidR="00E279E3" w:rsidRPr="00C11905">
        <w:rPr>
          <w:b/>
          <w:smallCaps/>
        </w:rPr>
        <w:t>Enforcing the Rules?</w:t>
      </w:r>
      <w:r w:rsidR="00E279E3">
        <w:t xml:space="preserve">  </w:t>
      </w:r>
      <w:r w:rsidR="00E279E3" w:rsidRPr="004B38FA">
        <w:rPr>
          <w:b/>
          <w:smallCaps/>
        </w:rPr>
        <w:t>Peace-Keeping, Nation-Building, Humanitarianism</w:t>
      </w:r>
      <w:r w:rsidR="00E279E3">
        <w:rPr>
          <w:b/>
          <w:smallCaps/>
        </w:rPr>
        <w:t xml:space="preserve"> Intervention</w:t>
      </w:r>
      <w:r w:rsidR="00E279E3" w:rsidRPr="004B38FA">
        <w:rPr>
          <w:b/>
          <w:smallCaps/>
        </w:rPr>
        <w:t>, and Democracy</w:t>
      </w:r>
      <w:r w:rsidR="00E279E3">
        <w:rPr>
          <w:b/>
          <w:smallCaps/>
        </w:rPr>
        <w:t xml:space="preserve"> </w:t>
      </w:r>
      <w:r w:rsidR="00E279E3" w:rsidRPr="004B38FA">
        <w:rPr>
          <w:b/>
          <w:smallCaps/>
        </w:rPr>
        <w:t>Promotion</w:t>
      </w:r>
    </w:p>
    <w:p w14:paraId="7DA8C5AE" w14:textId="77777777" w:rsidR="00E279E3" w:rsidRPr="004B38FA" w:rsidRDefault="00E279E3" w:rsidP="00E279E3">
      <w:pPr>
        <w:rPr>
          <w:sz w:val="12"/>
          <w:szCs w:val="12"/>
        </w:rPr>
      </w:pPr>
    </w:p>
    <w:p w14:paraId="4EB4A1F1" w14:textId="77777777" w:rsidR="00E279E3" w:rsidRPr="00F3591E" w:rsidRDefault="00E279E3" w:rsidP="00E279E3">
      <w:pPr>
        <w:pStyle w:val="ListParagraph"/>
        <w:numPr>
          <w:ilvl w:val="0"/>
          <w:numId w:val="26"/>
        </w:numPr>
        <w:rPr>
          <w:bCs/>
        </w:rPr>
      </w:pPr>
      <w:r w:rsidRPr="00F3591E">
        <w:rPr>
          <w:bCs/>
        </w:rPr>
        <w:t>Minxin Pei and Sara Kasper, “Lessons from the Past: The American Record on Nation Building,” Policy Brief 24 (Carnegie Endowment, 2003), pp. 1-7. (7 pp.)</w:t>
      </w:r>
    </w:p>
    <w:p w14:paraId="02B56C9A" w14:textId="77777777" w:rsidR="00E279E3" w:rsidRPr="005B2010" w:rsidRDefault="00E279E3" w:rsidP="00E279E3">
      <w:pPr>
        <w:pStyle w:val="ListParagraph"/>
        <w:numPr>
          <w:ilvl w:val="0"/>
          <w:numId w:val="26"/>
        </w:numPr>
        <w:rPr>
          <w:b/>
          <w:bCs/>
        </w:rPr>
      </w:pPr>
      <w:r w:rsidRPr="00051174">
        <w:rPr>
          <w:bCs/>
        </w:rPr>
        <w:t>James Dobbins, “Nation-Building: UN Surpasses US on Learning Curve,” in Art and Jervis, pp., 457-465. (8 pp.)</w:t>
      </w:r>
    </w:p>
    <w:p w14:paraId="0513FF74" w14:textId="77777777" w:rsidR="00E279E3" w:rsidRPr="00803DDD" w:rsidRDefault="00E279E3" w:rsidP="00E279E3">
      <w:pPr>
        <w:pStyle w:val="ListParagraph"/>
        <w:numPr>
          <w:ilvl w:val="0"/>
          <w:numId w:val="26"/>
        </w:numPr>
        <w:tabs>
          <w:tab w:val="left" w:pos="2340"/>
        </w:tabs>
        <w:ind w:right="-450"/>
        <w:rPr>
          <w:rFonts w:cs="Times New Roman"/>
          <w:szCs w:val="24"/>
        </w:rPr>
      </w:pPr>
      <w:r w:rsidRPr="00275FFE">
        <w:rPr>
          <w:rFonts w:cs="Times New Roman"/>
          <w:szCs w:val="24"/>
        </w:rPr>
        <w:t xml:space="preserve">Edward N. Luttwak, “Give War a Chance,” </w:t>
      </w:r>
      <w:r w:rsidRPr="00275FFE">
        <w:rPr>
          <w:rFonts w:cs="Times New Roman"/>
          <w:i/>
          <w:szCs w:val="24"/>
        </w:rPr>
        <w:t>Foreign Affairs</w:t>
      </w:r>
      <w:r w:rsidRPr="00275FFE">
        <w:rPr>
          <w:rFonts w:cs="Times New Roman"/>
          <w:szCs w:val="24"/>
        </w:rPr>
        <w:t xml:space="preserve"> Vol. 78 no. 4 (July/August 1999): 36-44</w:t>
      </w:r>
      <w:r>
        <w:rPr>
          <w:rFonts w:cs="Times New Roman"/>
          <w:szCs w:val="24"/>
        </w:rPr>
        <w:t xml:space="preserve"> </w:t>
      </w:r>
      <w:hyperlink r:id="rId22" w:history="1">
        <w:r w:rsidRPr="00803DDD">
          <w:rPr>
            <w:rStyle w:val="Hyperlink"/>
            <w:rFonts w:cs="Times New Roman"/>
            <w:szCs w:val="24"/>
          </w:rPr>
          <w:t>http://www.foreignaffairs.com/articles/55210/edward-n-luttwak/give-war-a-chance</w:t>
        </w:r>
      </w:hyperlink>
      <w:r w:rsidRPr="00803DDD">
        <w:rPr>
          <w:rFonts w:cs="Times New Roman"/>
          <w:szCs w:val="24"/>
        </w:rPr>
        <w:t xml:space="preserve"> </w:t>
      </w:r>
    </w:p>
    <w:p w14:paraId="6B3BBEC3" w14:textId="77777777" w:rsidR="00336169" w:rsidRPr="00187A84" w:rsidRDefault="00984ABB" w:rsidP="00336169">
      <w:pPr>
        <w:pStyle w:val="ListParagraph"/>
        <w:numPr>
          <w:ilvl w:val="0"/>
          <w:numId w:val="26"/>
        </w:numPr>
      </w:pPr>
      <w:r w:rsidRPr="00187A84">
        <w:t>Samantha Power, “Bystanders to Genocide,” Atlantic Monthly (September 2001), pp. 84-108. (24 pp.)</w:t>
      </w:r>
    </w:p>
    <w:p w14:paraId="559EDA15" w14:textId="77777777" w:rsidR="00187A84" w:rsidRPr="00187A84" w:rsidRDefault="00187A84" w:rsidP="00187A84">
      <w:pPr>
        <w:pStyle w:val="ListParagraph"/>
        <w:rPr>
          <w:rFonts w:cs="Times New Roman"/>
          <w:highlight w:val="green"/>
        </w:rPr>
      </w:pPr>
    </w:p>
    <w:p w14:paraId="6E122375" w14:textId="759EE3D5" w:rsidR="00336169" w:rsidRPr="00187A84" w:rsidRDefault="00187A84" w:rsidP="00336169">
      <w:pPr>
        <w:pStyle w:val="ListParagraph"/>
        <w:numPr>
          <w:ilvl w:val="0"/>
          <w:numId w:val="26"/>
        </w:numPr>
        <w:rPr>
          <w:rFonts w:cs="Times New Roman"/>
          <w:highlight w:val="green"/>
        </w:rPr>
      </w:pPr>
      <w:r w:rsidRPr="00187A84">
        <w:rPr>
          <w:highlight w:val="green"/>
        </w:rPr>
        <w:t xml:space="preserve">[OPTIONAL]  </w:t>
      </w:r>
      <w:r w:rsidR="00336169" w:rsidRPr="00187A84">
        <w:rPr>
          <w:rFonts w:cs="Times New Roman"/>
          <w:color w:val="000000"/>
          <w:szCs w:val="24"/>
          <w:highlight w:val="green"/>
        </w:rPr>
        <w:t xml:space="preserve">Robert Cooper, “The New World Order,” in Robert Cooper, </w:t>
      </w:r>
      <w:r w:rsidR="00336169" w:rsidRPr="00187A84">
        <w:rPr>
          <w:rFonts w:cs="Times New Roman"/>
          <w:i/>
          <w:color w:val="000000"/>
          <w:szCs w:val="24"/>
          <w:highlight w:val="green"/>
        </w:rPr>
        <w:t xml:space="preserve">The Breaking of Nations </w:t>
      </w:r>
      <w:r w:rsidR="00336169" w:rsidRPr="00187A84">
        <w:rPr>
          <w:rFonts w:cs="Times New Roman"/>
          <w:color w:val="000000"/>
          <w:szCs w:val="24"/>
          <w:highlight w:val="green"/>
        </w:rPr>
        <w:t>(2004), pp. 16-54. (39 pp.)</w:t>
      </w:r>
    </w:p>
    <w:p w14:paraId="48E72E53" w14:textId="77777777" w:rsidR="00E279E3" w:rsidRPr="0093613E" w:rsidRDefault="00E279E3" w:rsidP="00984ABB">
      <w:pPr>
        <w:pStyle w:val="ListParagraph"/>
        <w:numPr>
          <w:ilvl w:val="0"/>
          <w:numId w:val="26"/>
        </w:numPr>
        <w:rPr>
          <w:rFonts w:cs="Times New Roman"/>
          <w:bCs/>
        </w:rPr>
      </w:pPr>
      <w:r>
        <w:t xml:space="preserve">[OPTIONAL]  </w:t>
      </w:r>
      <w:r w:rsidRPr="0093613E">
        <w:rPr>
          <w:rFonts w:eastAsia="新細明體" w:cs="Times New Roman"/>
          <w:lang w:eastAsia="zh-TW"/>
        </w:rPr>
        <w:t xml:space="preserve">Michael Ignatieff, </w:t>
      </w:r>
      <w:r>
        <w:rPr>
          <w:rFonts w:eastAsia="新細明體" w:cs="Times New Roman"/>
          <w:lang w:eastAsia="zh-TW"/>
        </w:rPr>
        <w:t>“</w:t>
      </w:r>
      <w:r w:rsidRPr="003C4AA2">
        <w:rPr>
          <w:rFonts w:eastAsia="新細明體" w:cs="Times New Roman"/>
          <w:lang w:eastAsia="zh-TW"/>
        </w:rPr>
        <w:t>Human Rights as Politics</w:t>
      </w:r>
      <w:r>
        <w:rPr>
          <w:rFonts w:eastAsia="新細明體" w:cs="Times New Roman"/>
          <w:lang w:eastAsia="zh-TW"/>
        </w:rPr>
        <w:t>”, pp. 287-319</w:t>
      </w:r>
      <w:r w:rsidRPr="0093613E">
        <w:rPr>
          <w:rFonts w:eastAsia="新細明體" w:cs="Times New Roman"/>
          <w:lang w:eastAsia="zh-TW"/>
        </w:rPr>
        <w:t>.</w:t>
      </w:r>
    </w:p>
    <w:p w14:paraId="6EAC1C39" w14:textId="77777777" w:rsidR="00E279E3" w:rsidRDefault="00E279E3" w:rsidP="00E279E3"/>
    <w:p w14:paraId="5BC39CFC" w14:textId="77777777" w:rsidR="00E279E3" w:rsidRPr="00CA0CC7" w:rsidRDefault="00E279E3" w:rsidP="00E279E3"/>
    <w:p w14:paraId="7A6A4723" w14:textId="77777777" w:rsidR="00E279E3" w:rsidRPr="00CA0CC7" w:rsidRDefault="00CB0566" w:rsidP="00E279E3">
      <w:pPr>
        <w:ind w:left="1440" w:hanging="1440"/>
      </w:pPr>
      <w:r>
        <w:rPr>
          <w:i/>
        </w:rPr>
        <w:t>Nov. 21</w:t>
      </w:r>
      <w:r w:rsidR="00E279E3">
        <w:tab/>
      </w:r>
      <w:r w:rsidR="00E279E3" w:rsidRPr="00CA0CC7">
        <w:rPr>
          <w:b/>
          <w:smallCaps/>
        </w:rPr>
        <w:t>The International Politics of Development:  Is the International System Biased Against the Poor?</w:t>
      </w:r>
      <w:r w:rsidR="00E279E3">
        <w:rPr>
          <w:b/>
        </w:rPr>
        <w:t xml:space="preserve"> </w:t>
      </w:r>
      <w:r w:rsidR="00E279E3">
        <w:t>(136 pp.)</w:t>
      </w:r>
    </w:p>
    <w:p w14:paraId="5A37F084" w14:textId="77777777" w:rsidR="00E279E3" w:rsidRPr="00CA0CC7" w:rsidRDefault="00E279E3" w:rsidP="00E279E3">
      <w:pPr>
        <w:pStyle w:val="ListParagraph"/>
        <w:rPr>
          <w:sz w:val="12"/>
          <w:szCs w:val="12"/>
        </w:rPr>
      </w:pPr>
    </w:p>
    <w:p w14:paraId="2F12D9E3" w14:textId="77777777" w:rsidR="00E279E3" w:rsidRPr="00CA0CC7" w:rsidRDefault="00E279E3" w:rsidP="00E279E3">
      <w:pPr>
        <w:pStyle w:val="ListParagraph"/>
        <w:numPr>
          <w:ilvl w:val="0"/>
          <w:numId w:val="25"/>
        </w:numPr>
      </w:pPr>
      <w:r w:rsidRPr="00CA0CC7">
        <w:t xml:space="preserve">Lairson and Skidmore, </w:t>
      </w:r>
      <w:r w:rsidRPr="00CA0CC7">
        <w:rPr>
          <w:i/>
        </w:rPr>
        <w:t xml:space="preserve">International Political Economy </w:t>
      </w:r>
      <w:r w:rsidRPr="00CA0CC7">
        <w:t>3</w:t>
      </w:r>
      <w:r w:rsidRPr="00CA0CC7">
        <w:rPr>
          <w:vertAlign w:val="superscript"/>
        </w:rPr>
        <w:t>rd</w:t>
      </w:r>
      <w:r w:rsidRPr="00CA0CC7">
        <w:t xml:space="preserve"> ed., pp. 265-285, 313-338, 373-411. (86 pp.)</w:t>
      </w:r>
    </w:p>
    <w:p w14:paraId="013D9C74" w14:textId="77777777" w:rsidR="00E279E3" w:rsidRPr="00CA0CC7" w:rsidRDefault="00E279E3" w:rsidP="00E279E3">
      <w:pPr>
        <w:pStyle w:val="ListParagraph"/>
        <w:numPr>
          <w:ilvl w:val="0"/>
          <w:numId w:val="25"/>
        </w:numPr>
      </w:pPr>
      <w:r w:rsidRPr="00CA0CC7">
        <w:lastRenderedPageBreak/>
        <w:t>“</w:t>
      </w:r>
      <w:hyperlink r:id="rId23" w:history="1">
        <w:r w:rsidRPr="00CA0CC7">
          <w:rPr>
            <w:rStyle w:val="Hyperlink"/>
          </w:rPr>
          <w:t>The Globalization Index</w:t>
        </w:r>
      </w:hyperlink>
      <w:r w:rsidRPr="00CA0CC7">
        <w:t xml:space="preserve">,” </w:t>
      </w:r>
      <w:r w:rsidRPr="00CA0CC7">
        <w:rPr>
          <w:i/>
        </w:rPr>
        <w:t xml:space="preserve">Foreign Policy </w:t>
      </w:r>
      <w:r w:rsidRPr="00CA0CC7">
        <w:t xml:space="preserve">(November-December 2007). </w:t>
      </w:r>
    </w:p>
    <w:p w14:paraId="33A7D074" w14:textId="77777777" w:rsidR="00E279E3" w:rsidRPr="00CA0CC7" w:rsidRDefault="00E279E3" w:rsidP="00E279E3">
      <w:pPr>
        <w:pStyle w:val="ListParagraph"/>
        <w:numPr>
          <w:ilvl w:val="0"/>
          <w:numId w:val="25"/>
        </w:numPr>
      </w:pPr>
      <w:r w:rsidRPr="00CA0CC7">
        <w:t xml:space="preserve">Dani Rodrik, “How to Save Globalization from its Cheerleaders,” in Frieden, Lake and Broz, </w:t>
      </w:r>
      <w:r w:rsidRPr="00CA0CC7">
        <w:rPr>
          <w:i/>
        </w:rPr>
        <w:t xml:space="preserve">International Political Economy, </w:t>
      </w:r>
      <w:r w:rsidRPr="00CA0CC7">
        <w:t xml:space="preserve">pp. 546-566. (20 pp.) </w:t>
      </w:r>
    </w:p>
    <w:p w14:paraId="47F4C277" w14:textId="77777777" w:rsidR="00E279E3" w:rsidRPr="00CA0CC7" w:rsidRDefault="00E279E3" w:rsidP="00E279E3">
      <w:pPr>
        <w:pStyle w:val="ListParagraph"/>
        <w:numPr>
          <w:ilvl w:val="0"/>
          <w:numId w:val="25"/>
        </w:numPr>
      </w:pPr>
      <w:r w:rsidRPr="00CA0CC7">
        <w:t xml:space="preserve">Jeffrey Sachs, “The End of Poverty,” </w:t>
      </w:r>
      <w:r w:rsidRPr="00CA0CC7">
        <w:rPr>
          <w:i/>
        </w:rPr>
        <w:t xml:space="preserve">Time </w:t>
      </w:r>
      <w:r w:rsidRPr="00CA0CC7">
        <w:t xml:space="preserve">(14 March 2005). (5 pp.) </w:t>
      </w:r>
    </w:p>
    <w:p w14:paraId="13D529C9" w14:textId="77777777" w:rsidR="00E279E3" w:rsidRPr="00CA0CC7" w:rsidRDefault="00E279E3" w:rsidP="00E279E3">
      <w:pPr>
        <w:pStyle w:val="ListParagraph"/>
        <w:numPr>
          <w:ilvl w:val="0"/>
          <w:numId w:val="25"/>
        </w:numPr>
      </w:pPr>
      <w:r w:rsidRPr="00CA0CC7">
        <w:t xml:space="preserve">William Easterly. 2006. </w:t>
      </w:r>
      <w:r w:rsidRPr="00CA0CC7">
        <w:rPr>
          <w:i/>
        </w:rPr>
        <w:t>The White Man’s Burden,</w:t>
      </w:r>
      <w:r w:rsidRPr="00CA0CC7">
        <w:t xml:space="preserve"> pp. 37-59. (25 pp.)</w:t>
      </w:r>
    </w:p>
    <w:p w14:paraId="73B0B804" w14:textId="77777777" w:rsidR="00E279E3" w:rsidRPr="005E027C" w:rsidRDefault="00E279E3" w:rsidP="00E279E3"/>
    <w:p w14:paraId="5D9073E7" w14:textId="77777777" w:rsidR="00E279E3" w:rsidRPr="006E0F3C" w:rsidRDefault="00E279E3" w:rsidP="00E279E3"/>
    <w:p w14:paraId="09BB47E7" w14:textId="77777777" w:rsidR="00E279E3" w:rsidRPr="00F3591E" w:rsidRDefault="00CB0566" w:rsidP="00E279E3">
      <w:pPr>
        <w:ind w:left="1440" w:hanging="1440"/>
      </w:pPr>
      <w:r>
        <w:rPr>
          <w:i/>
        </w:rPr>
        <w:t>Nov. 28</w:t>
      </w:r>
      <w:r w:rsidR="00E279E3">
        <w:tab/>
      </w:r>
      <w:r w:rsidR="00E279E3" w:rsidRPr="00385E06">
        <w:rPr>
          <w:b/>
          <w:smallCaps/>
        </w:rPr>
        <w:t xml:space="preserve">Declining Powers </w:t>
      </w:r>
      <w:r w:rsidR="003A4F7D">
        <w:rPr>
          <w:b/>
          <w:smallCaps/>
        </w:rPr>
        <w:t xml:space="preserve">and the Rise of the Rest:  </w:t>
      </w:r>
      <w:r w:rsidR="00E279E3" w:rsidRPr="00385E06">
        <w:rPr>
          <w:b/>
          <w:smallCaps/>
        </w:rPr>
        <w:t>The End of the Cold War</w:t>
      </w:r>
      <w:r w:rsidR="003A4F7D">
        <w:rPr>
          <w:b/>
          <w:smallCaps/>
        </w:rPr>
        <w:t xml:space="preserve">, </w:t>
      </w:r>
      <w:r w:rsidR="00E279E3" w:rsidRPr="00385E06">
        <w:rPr>
          <w:b/>
          <w:smallCaps/>
        </w:rPr>
        <w:t>American Unipolarity</w:t>
      </w:r>
      <w:r w:rsidR="003A4F7D">
        <w:rPr>
          <w:b/>
          <w:smallCaps/>
        </w:rPr>
        <w:t>, and China</w:t>
      </w:r>
      <w:r w:rsidR="00E279E3" w:rsidRPr="00385E06">
        <w:rPr>
          <w:b/>
          <w:smallCaps/>
        </w:rPr>
        <w:t>:  Is Geopolitical Balancing Obsolete?</w:t>
      </w:r>
      <w:r w:rsidR="00E279E3">
        <w:rPr>
          <w:b/>
        </w:rPr>
        <w:t xml:space="preserve">  </w:t>
      </w:r>
      <w:r w:rsidR="00DF2B77">
        <w:t>(153</w:t>
      </w:r>
      <w:r w:rsidR="00E279E3" w:rsidRPr="00F3591E">
        <w:t xml:space="preserve"> pp.)</w:t>
      </w:r>
    </w:p>
    <w:p w14:paraId="70C21A5E" w14:textId="77777777" w:rsidR="007A1619" w:rsidRDefault="007A1619" w:rsidP="007A1619">
      <w:pPr>
        <w:rPr>
          <w:szCs w:val="24"/>
        </w:rPr>
      </w:pPr>
    </w:p>
    <w:p w14:paraId="617A83DA" w14:textId="77777777" w:rsidR="007A1619" w:rsidRPr="007A1619" w:rsidRDefault="007A1619" w:rsidP="007A1619">
      <w:pPr>
        <w:pStyle w:val="ListParagraph"/>
        <w:numPr>
          <w:ilvl w:val="0"/>
          <w:numId w:val="35"/>
        </w:numPr>
        <w:tabs>
          <w:tab w:val="left" w:pos="720"/>
        </w:tabs>
        <w:rPr>
          <w:szCs w:val="24"/>
        </w:rPr>
      </w:pPr>
      <w:r w:rsidRPr="007A1619">
        <w:rPr>
          <w:szCs w:val="24"/>
        </w:rPr>
        <w:t>Kenneth N. Waltz, “Structural Realism after the Cold War,” International Security 25:1 (Summer 2000): 5-41. (36 pp.)</w:t>
      </w:r>
    </w:p>
    <w:p w14:paraId="34213E34" w14:textId="77777777" w:rsidR="007A1619" w:rsidRPr="007A1619" w:rsidRDefault="007A1619" w:rsidP="007A1619">
      <w:pPr>
        <w:pStyle w:val="ListParagraph"/>
        <w:numPr>
          <w:ilvl w:val="0"/>
          <w:numId w:val="35"/>
        </w:numPr>
        <w:tabs>
          <w:tab w:val="left" w:pos="720"/>
        </w:tabs>
        <w:rPr>
          <w:szCs w:val="24"/>
        </w:rPr>
      </w:pPr>
      <w:r w:rsidRPr="007A1619">
        <w:rPr>
          <w:szCs w:val="24"/>
        </w:rPr>
        <w:t>G. John Ikenberry, After Victory, pp. 215-56. (41 pp.)</w:t>
      </w:r>
    </w:p>
    <w:p w14:paraId="7A5C1BF7" w14:textId="77777777" w:rsidR="007A1619" w:rsidRPr="007A1619" w:rsidRDefault="007A1619" w:rsidP="007A1619">
      <w:pPr>
        <w:pStyle w:val="ListParagraph"/>
        <w:numPr>
          <w:ilvl w:val="0"/>
          <w:numId w:val="35"/>
        </w:numPr>
        <w:tabs>
          <w:tab w:val="left" w:pos="720"/>
        </w:tabs>
        <w:rPr>
          <w:szCs w:val="24"/>
        </w:rPr>
      </w:pPr>
      <w:r w:rsidRPr="007A1619">
        <w:rPr>
          <w:szCs w:val="24"/>
        </w:rPr>
        <w:t>Barry R. Posen, “The Case for Restraint,” American Interest Online. Access online at http://www.the-american-interest.com/pdf/v3/n2/Posen.pdf. Nov/Dec. 2007. (12 pp.) Response by G. John Ikenberry. (1 p.)</w:t>
      </w:r>
    </w:p>
    <w:p w14:paraId="3AA9D315" w14:textId="77777777" w:rsidR="007A1619" w:rsidRPr="007A1619" w:rsidRDefault="007A1619" w:rsidP="007A1619">
      <w:pPr>
        <w:pStyle w:val="ListParagraph"/>
        <w:numPr>
          <w:ilvl w:val="0"/>
          <w:numId w:val="35"/>
        </w:numPr>
        <w:tabs>
          <w:tab w:val="left" w:pos="720"/>
        </w:tabs>
        <w:rPr>
          <w:szCs w:val="24"/>
        </w:rPr>
      </w:pPr>
      <w:r w:rsidRPr="007A1619">
        <w:rPr>
          <w:szCs w:val="24"/>
        </w:rPr>
        <w:t xml:space="preserve">Robert Kagan, “Power and Weakness,” Policy Review No. 113. June 1, 2002. (20 pp.) </w:t>
      </w:r>
    </w:p>
    <w:p w14:paraId="122D8BA2" w14:textId="77777777" w:rsidR="00187A84" w:rsidRDefault="00187A84" w:rsidP="00187A84">
      <w:pPr>
        <w:pStyle w:val="ListParagraph"/>
        <w:tabs>
          <w:tab w:val="left" w:pos="720"/>
        </w:tabs>
        <w:rPr>
          <w:szCs w:val="24"/>
          <w:highlight w:val="green"/>
        </w:rPr>
      </w:pPr>
    </w:p>
    <w:p w14:paraId="2013AC51" w14:textId="76B4D3C8" w:rsidR="007A1619" w:rsidRPr="00187A84" w:rsidRDefault="00187A84" w:rsidP="007A1619">
      <w:pPr>
        <w:pStyle w:val="ListParagraph"/>
        <w:numPr>
          <w:ilvl w:val="0"/>
          <w:numId w:val="35"/>
        </w:numPr>
        <w:tabs>
          <w:tab w:val="left" w:pos="720"/>
        </w:tabs>
        <w:rPr>
          <w:szCs w:val="24"/>
        </w:rPr>
      </w:pPr>
      <w:r w:rsidRPr="00187A84">
        <w:rPr>
          <w:szCs w:val="24"/>
        </w:rPr>
        <w:t xml:space="preserve">[OPTIONAL] </w:t>
      </w:r>
      <w:r w:rsidR="007A1619" w:rsidRPr="00187A84">
        <w:rPr>
          <w:szCs w:val="24"/>
        </w:rPr>
        <w:t>Andrei Schleifer and Daniel Treisman, “Why Moscow Says No: A Question of Russian Interests, Not Psychology,” Foreign Affairs (January-February 2011), pp. 122-128.</w:t>
      </w:r>
    </w:p>
    <w:p w14:paraId="2DC6512E" w14:textId="77777777" w:rsidR="007A1619" w:rsidRPr="007A1619" w:rsidRDefault="007A1619" w:rsidP="007A1619">
      <w:pPr>
        <w:rPr>
          <w:szCs w:val="24"/>
        </w:rPr>
      </w:pPr>
    </w:p>
    <w:p w14:paraId="2C251C91" w14:textId="77777777" w:rsidR="007A1619" w:rsidRPr="007A1619" w:rsidRDefault="007A1619" w:rsidP="007A1619">
      <w:pPr>
        <w:rPr>
          <w:szCs w:val="24"/>
        </w:rPr>
      </w:pPr>
    </w:p>
    <w:p w14:paraId="26C5ABC3" w14:textId="77777777" w:rsidR="007A1619" w:rsidRPr="007A1619" w:rsidRDefault="00CB0566" w:rsidP="007A1619">
      <w:pPr>
        <w:rPr>
          <w:szCs w:val="24"/>
        </w:rPr>
      </w:pPr>
      <w:r>
        <w:rPr>
          <w:szCs w:val="24"/>
        </w:rPr>
        <w:t>Dec. 1</w:t>
      </w:r>
      <w:r>
        <w:rPr>
          <w:szCs w:val="24"/>
        </w:rPr>
        <w:tab/>
      </w:r>
      <w:r w:rsidR="007A1619" w:rsidRPr="007A1619">
        <w:rPr>
          <w:szCs w:val="24"/>
        </w:rPr>
        <w:tab/>
      </w:r>
      <w:r w:rsidR="003933FD" w:rsidRPr="003933FD">
        <w:rPr>
          <w:b/>
          <w:bCs/>
          <w:smallCaps/>
          <w:szCs w:val="24"/>
        </w:rPr>
        <w:t>The Rise of the Rest:  China and the BRICS</w:t>
      </w:r>
      <w:r w:rsidR="007A1619" w:rsidRPr="007A1619">
        <w:rPr>
          <w:szCs w:val="24"/>
        </w:rPr>
        <w:t xml:space="preserve"> (128 pp.)</w:t>
      </w:r>
    </w:p>
    <w:p w14:paraId="085B1D74" w14:textId="77777777" w:rsidR="007A1619" w:rsidRPr="007A1619" w:rsidRDefault="007A1619" w:rsidP="007A1619">
      <w:pPr>
        <w:rPr>
          <w:szCs w:val="24"/>
        </w:rPr>
      </w:pPr>
    </w:p>
    <w:p w14:paraId="2A8594CD" w14:textId="77777777" w:rsidR="007A1619" w:rsidRPr="003933FD" w:rsidRDefault="007A1619" w:rsidP="003933FD">
      <w:pPr>
        <w:pStyle w:val="ListParagraph"/>
        <w:numPr>
          <w:ilvl w:val="0"/>
          <w:numId w:val="36"/>
        </w:numPr>
        <w:rPr>
          <w:szCs w:val="24"/>
        </w:rPr>
      </w:pPr>
      <w:r w:rsidRPr="003933FD">
        <w:rPr>
          <w:szCs w:val="24"/>
        </w:rPr>
        <w:t>Christopher Layne, “The Unipolar Illusion: Why New Great Powers Will Rise,” International Security (Spring 1993), pp. 130-141. (12 pp.)</w:t>
      </w:r>
    </w:p>
    <w:p w14:paraId="61AA5603" w14:textId="77777777" w:rsidR="007A1619" w:rsidRPr="003933FD" w:rsidRDefault="007A1619" w:rsidP="003933FD">
      <w:pPr>
        <w:pStyle w:val="ListParagraph"/>
        <w:numPr>
          <w:ilvl w:val="0"/>
          <w:numId w:val="36"/>
        </w:numPr>
        <w:rPr>
          <w:szCs w:val="24"/>
        </w:rPr>
      </w:pPr>
      <w:r w:rsidRPr="003933FD">
        <w:rPr>
          <w:szCs w:val="24"/>
        </w:rPr>
        <w:t>Robert Kaplan, “How We Would Fight China,” Atlantic Monthly (June 2005), 49-64. (15 pp.)</w:t>
      </w:r>
    </w:p>
    <w:p w14:paraId="5EB28D40" w14:textId="77777777" w:rsidR="007A1619" w:rsidRPr="003933FD" w:rsidRDefault="007A1619" w:rsidP="003933FD">
      <w:pPr>
        <w:pStyle w:val="ListParagraph"/>
        <w:numPr>
          <w:ilvl w:val="0"/>
          <w:numId w:val="36"/>
        </w:numPr>
        <w:rPr>
          <w:szCs w:val="24"/>
        </w:rPr>
      </w:pPr>
      <w:r w:rsidRPr="003933FD">
        <w:rPr>
          <w:szCs w:val="24"/>
        </w:rPr>
        <w:t>Thomas Christensen, “Fostering Stability or Creating a Monster? The Rise of China and U.S. Policy toward East Asia,” International Security (Summer 2006), pp. 81-126. (45 pp.)</w:t>
      </w:r>
    </w:p>
    <w:p w14:paraId="02E1BA21" w14:textId="77777777" w:rsidR="007A1619" w:rsidRPr="003933FD" w:rsidRDefault="007A1619" w:rsidP="003933FD">
      <w:pPr>
        <w:pStyle w:val="ListParagraph"/>
        <w:numPr>
          <w:ilvl w:val="0"/>
          <w:numId w:val="36"/>
        </w:numPr>
        <w:rPr>
          <w:szCs w:val="24"/>
        </w:rPr>
      </w:pPr>
      <w:r w:rsidRPr="003933FD">
        <w:rPr>
          <w:szCs w:val="24"/>
        </w:rPr>
        <w:t>Susan Shirk, China: Fragile Superpower (2007), pp. 35-78. (42 pp.).</w:t>
      </w:r>
    </w:p>
    <w:p w14:paraId="614CCA4E" w14:textId="77777777" w:rsidR="0012620D" w:rsidRPr="0012620D" w:rsidRDefault="0012620D" w:rsidP="0012620D">
      <w:pPr>
        <w:pStyle w:val="ListParagraph"/>
        <w:rPr>
          <w:szCs w:val="24"/>
        </w:rPr>
      </w:pPr>
    </w:p>
    <w:p w14:paraId="28AE2A5A" w14:textId="59F9FDEF" w:rsidR="007A1619" w:rsidRPr="0012620D" w:rsidRDefault="0012620D" w:rsidP="003933FD">
      <w:pPr>
        <w:pStyle w:val="ListParagraph"/>
        <w:numPr>
          <w:ilvl w:val="0"/>
          <w:numId w:val="36"/>
        </w:numPr>
        <w:rPr>
          <w:szCs w:val="24"/>
        </w:rPr>
      </w:pPr>
      <w:r w:rsidRPr="0012620D">
        <w:rPr>
          <w:szCs w:val="24"/>
        </w:rPr>
        <w:t xml:space="preserve">[OPTIONAL] </w:t>
      </w:r>
      <w:r w:rsidR="007A1619" w:rsidRPr="0012620D">
        <w:rPr>
          <w:szCs w:val="24"/>
        </w:rPr>
        <w:t>Ken Miller, “Coping with China’s Financial Power”, Foreign Affairs (July-August 2010), Vol. 89 Issue 4, pp. 96-109. (14 pp.)</w:t>
      </w:r>
    </w:p>
    <w:p w14:paraId="3C9B988A" w14:textId="77777777" w:rsidR="00E279E3" w:rsidRDefault="00E279E3" w:rsidP="00E279E3"/>
    <w:p w14:paraId="3837A872" w14:textId="77777777" w:rsidR="00E279E3" w:rsidRPr="00385E06" w:rsidRDefault="00E279E3" w:rsidP="00E279E3"/>
    <w:p w14:paraId="4A45EDBD" w14:textId="77777777" w:rsidR="00E279E3" w:rsidRDefault="00CB0566" w:rsidP="00E279E3">
      <w:pPr>
        <w:ind w:left="1440" w:hanging="1440"/>
      </w:pPr>
      <w:r>
        <w:rPr>
          <w:i/>
        </w:rPr>
        <w:t>Dec. 5</w:t>
      </w:r>
      <w:r w:rsidR="00E279E3">
        <w:tab/>
      </w:r>
      <w:r w:rsidR="00E279E3" w:rsidRPr="00385E06">
        <w:rPr>
          <w:b/>
          <w:smallCaps/>
        </w:rPr>
        <w:t xml:space="preserve">Terrorism:  Do Non-State Threats Render Traditional World Politics Obsolete?  </w:t>
      </w:r>
      <w:r w:rsidR="00E279E3" w:rsidRPr="00385E06">
        <w:t>(90 pp.)</w:t>
      </w:r>
    </w:p>
    <w:p w14:paraId="77BE3AB5" w14:textId="77777777" w:rsidR="00E279E3" w:rsidRPr="00385E06" w:rsidRDefault="00E279E3" w:rsidP="00E279E3">
      <w:pPr>
        <w:ind w:left="1440" w:hanging="1440"/>
        <w:rPr>
          <w:sz w:val="12"/>
          <w:szCs w:val="12"/>
        </w:rPr>
      </w:pPr>
    </w:p>
    <w:p w14:paraId="57DF23CB" w14:textId="77777777" w:rsidR="00E279E3" w:rsidRDefault="00E279E3" w:rsidP="00E279E3">
      <w:pPr>
        <w:pStyle w:val="ListParagraph"/>
        <w:numPr>
          <w:ilvl w:val="0"/>
          <w:numId w:val="29"/>
        </w:numPr>
      </w:pPr>
      <w:r>
        <w:t>Max Abrahms, "What Terrorists Really Want: Terrorist Motives and Counterterrorism Strategy." International Security, 32, 4 (Spring 2008)</w:t>
      </w:r>
      <w:proofErr w:type="gramStart"/>
      <w:r>
        <w:t>:78</w:t>
      </w:r>
      <w:proofErr w:type="gramEnd"/>
      <w:r>
        <w:t>-105.</w:t>
      </w:r>
    </w:p>
    <w:p w14:paraId="266D0E45" w14:textId="77777777" w:rsidR="00E279E3" w:rsidRPr="00385E06" w:rsidRDefault="00E279E3" w:rsidP="00E279E3">
      <w:pPr>
        <w:pStyle w:val="ListParagraph"/>
        <w:numPr>
          <w:ilvl w:val="0"/>
          <w:numId w:val="29"/>
        </w:numPr>
      </w:pPr>
      <w:r w:rsidRPr="00385E06">
        <w:t xml:space="preserve">Fawaz Gerges, “Why we Underestimated Al Qaeda,” </w:t>
      </w:r>
      <w:r w:rsidRPr="00385E06">
        <w:rPr>
          <w:i/>
        </w:rPr>
        <w:t>The Far Enemy: Why Jihad Went Global</w:t>
      </w:r>
      <w:r w:rsidRPr="00385E06">
        <w:t>, pp.177-84. (8 pp.)</w:t>
      </w:r>
    </w:p>
    <w:p w14:paraId="40C939A5" w14:textId="77777777" w:rsidR="00E279E3" w:rsidRPr="00385E06" w:rsidRDefault="00E279E3" w:rsidP="00E279E3">
      <w:pPr>
        <w:pStyle w:val="ListParagraph"/>
        <w:numPr>
          <w:ilvl w:val="0"/>
          <w:numId w:val="29"/>
        </w:numPr>
      </w:pPr>
      <w:r w:rsidRPr="00385E06">
        <w:lastRenderedPageBreak/>
        <w:t>David Tucker, “</w:t>
      </w:r>
      <w:hyperlink r:id="rId24" w:history="1">
        <w:r w:rsidRPr="00385E06">
          <w:rPr>
            <w:rStyle w:val="Hyperlink"/>
          </w:rPr>
          <w:t>What is New about the New Terrorism and How Dangerous is It?</w:t>
        </w:r>
      </w:hyperlink>
      <w:r w:rsidRPr="00385E06">
        <w:t xml:space="preserve">” </w:t>
      </w:r>
      <w:r w:rsidRPr="00385E06">
        <w:rPr>
          <w:i/>
        </w:rPr>
        <w:t xml:space="preserve">Terrorism and Political Violence </w:t>
      </w:r>
      <w:r w:rsidRPr="00385E06">
        <w:t>(August 2001), pp. 1-14. (14 pp)</w:t>
      </w:r>
    </w:p>
    <w:p w14:paraId="02B53AD9" w14:textId="77777777" w:rsidR="00E279E3" w:rsidRPr="00385E06" w:rsidRDefault="00E279E3" w:rsidP="00E279E3">
      <w:pPr>
        <w:pStyle w:val="ListParagraph"/>
        <w:numPr>
          <w:ilvl w:val="0"/>
          <w:numId w:val="29"/>
        </w:numPr>
      </w:pPr>
      <w:r w:rsidRPr="00385E06">
        <w:t xml:space="preserve">Francis Fukuyama, “History and September 11,” in Ken Booth and Tim Dunne, </w:t>
      </w:r>
      <w:proofErr w:type="gramStart"/>
      <w:r w:rsidRPr="00385E06">
        <w:t>eds</w:t>
      </w:r>
      <w:proofErr w:type="gramEnd"/>
      <w:r w:rsidRPr="00385E06">
        <w:t xml:space="preserve">. </w:t>
      </w:r>
      <w:r w:rsidRPr="00385E06">
        <w:rPr>
          <w:i/>
        </w:rPr>
        <w:t xml:space="preserve">Worlds in Collision: Terror and the Future of Global Order </w:t>
      </w:r>
      <w:r w:rsidRPr="00385E06">
        <w:t xml:space="preserve">(2002), pp. 27-36. (10 pp.) </w:t>
      </w:r>
    </w:p>
    <w:p w14:paraId="62F56A3E" w14:textId="77777777" w:rsidR="00E279E3" w:rsidRPr="00385E06" w:rsidRDefault="00E279E3" w:rsidP="00E279E3">
      <w:pPr>
        <w:pStyle w:val="ListParagraph"/>
        <w:numPr>
          <w:ilvl w:val="0"/>
          <w:numId w:val="29"/>
        </w:numPr>
      </w:pPr>
      <w:r w:rsidRPr="00385E06">
        <w:t xml:space="preserve">Colin Gray, “World Politics as Usual after September 11: Realism Vindicated,” in Ken Booth and Tim Dunne, </w:t>
      </w:r>
      <w:proofErr w:type="gramStart"/>
      <w:r w:rsidRPr="00385E06">
        <w:t>eds</w:t>
      </w:r>
      <w:proofErr w:type="gramEnd"/>
      <w:r w:rsidRPr="00385E06">
        <w:t xml:space="preserve">. </w:t>
      </w:r>
      <w:r w:rsidRPr="00385E06">
        <w:rPr>
          <w:i/>
        </w:rPr>
        <w:t xml:space="preserve">Worlds in Collision </w:t>
      </w:r>
      <w:r w:rsidRPr="00385E06">
        <w:t xml:space="preserve">(2002), pp. 226-234. (8 pp.) </w:t>
      </w:r>
    </w:p>
    <w:p w14:paraId="7BF9B8CB" w14:textId="77777777" w:rsidR="00E279E3" w:rsidRPr="00385E06" w:rsidRDefault="00E279E3" w:rsidP="00E279E3">
      <w:pPr>
        <w:pStyle w:val="ListParagraph"/>
        <w:numPr>
          <w:ilvl w:val="0"/>
          <w:numId w:val="29"/>
        </w:numPr>
      </w:pPr>
      <w:r w:rsidRPr="00385E06">
        <w:t xml:space="preserve">John Mueller, </w:t>
      </w:r>
      <w:r w:rsidRPr="00385E06">
        <w:rPr>
          <w:i/>
        </w:rPr>
        <w:t xml:space="preserve">Overblown: How Politicians and the Terrorism Industry Inflate National Security Threats, and Why We Believe Them </w:t>
      </w:r>
      <w:r w:rsidRPr="00385E06">
        <w:t>(2009), Chapter 5, “Nuclear Fears, Cold War Terrorism, and Devils de Jour,” pp. 93-116. (24 pp.)</w:t>
      </w:r>
    </w:p>
    <w:p w14:paraId="36332FA5" w14:textId="77777777" w:rsidR="00E279E3" w:rsidRDefault="00E279E3" w:rsidP="00E279E3"/>
    <w:p w14:paraId="1A6B9CE4" w14:textId="2D6E977E" w:rsidR="0012620D" w:rsidRPr="0012620D" w:rsidRDefault="0012620D" w:rsidP="0012620D">
      <w:pPr>
        <w:pStyle w:val="ListParagraph"/>
        <w:numPr>
          <w:ilvl w:val="0"/>
          <w:numId w:val="29"/>
        </w:numPr>
      </w:pPr>
      <w:r w:rsidRPr="0012620D">
        <w:t xml:space="preserve">[OPTIONAL] Robert Pape, </w:t>
      </w:r>
      <w:r w:rsidRPr="0012620D">
        <w:rPr>
          <w:i/>
        </w:rPr>
        <w:t xml:space="preserve">Dying to Win </w:t>
      </w:r>
      <w:r w:rsidRPr="0012620D">
        <w:t>(2005), pp.16-24, 27-33, 38-47.  (26 pp.)</w:t>
      </w:r>
    </w:p>
    <w:p w14:paraId="2B4F4089" w14:textId="77777777" w:rsidR="0012620D" w:rsidRDefault="0012620D" w:rsidP="00E279E3"/>
    <w:p w14:paraId="64B795FF" w14:textId="77777777" w:rsidR="00E279E3" w:rsidRPr="00385E06" w:rsidRDefault="00E279E3" w:rsidP="00E279E3"/>
    <w:p w14:paraId="7202354B" w14:textId="77777777" w:rsidR="00E279E3" w:rsidRPr="00385E06" w:rsidRDefault="00CB0566" w:rsidP="00E279E3">
      <w:r>
        <w:rPr>
          <w:i/>
        </w:rPr>
        <w:t>Dec. 8</w:t>
      </w:r>
      <w:r>
        <w:rPr>
          <w:i/>
        </w:rPr>
        <w:tab/>
      </w:r>
      <w:r w:rsidR="00E279E3">
        <w:tab/>
      </w:r>
      <w:r w:rsidR="00E279E3" w:rsidRPr="00220B09">
        <w:rPr>
          <w:b/>
          <w:bCs/>
          <w:smallCaps/>
          <w:szCs w:val="24"/>
        </w:rPr>
        <w:t>The Future of World Politics:  The End of History?</w:t>
      </w:r>
      <w:r w:rsidR="00E279E3" w:rsidRPr="00385E06">
        <w:rPr>
          <w:b/>
        </w:rPr>
        <w:t xml:space="preserve"> </w:t>
      </w:r>
      <w:r w:rsidR="00E279E3">
        <w:rPr>
          <w:b/>
        </w:rPr>
        <w:t xml:space="preserve"> </w:t>
      </w:r>
      <w:r w:rsidR="00E279E3" w:rsidRPr="00385E06">
        <w:t>(97 pp.)</w:t>
      </w:r>
    </w:p>
    <w:p w14:paraId="59C38065" w14:textId="77777777" w:rsidR="00E279E3" w:rsidRPr="00385E06" w:rsidRDefault="00E279E3" w:rsidP="00E279E3">
      <w:pPr>
        <w:rPr>
          <w:sz w:val="12"/>
          <w:szCs w:val="12"/>
        </w:rPr>
      </w:pPr>
    </w:p>
    <w:p w14:paraId="3C21902A" w14:textId="77777777" w:rsidR="00E279E3" w:rsidRPr="00385E06" w:rsidRDefault="00E279E3" w:rsidP="00E279E3">
      <w:pPr>
        <w:pStyle w:val="ListParagraph"/>
        <w:numPr>
          <w:ilvl w:val="0"/>
          <w:numId w:val="30"/>
        </w:numPr>
        <w:rPr>
          <w:b/>
          <w:bCs/>
        </w:rPr>
      </w:pPr>
      <w:r w:rsidRPr="00385E06">
        <w:rPr>
          <w:bCs/>
        </w:rPr>
        <w:t xml:space="preserve">Francis Fukuyama, "The End of History", </w:t>
      </w:r>
      <w:r w:rsidRPr="00385E06">
        <w:rPr>
          <w:bCs/>
          <w:i/>
        </w:rPr>
        <w:t>The National Interest</w:t>
      </w:r>
      <w:r w:rsidRPr="00385E06">
        <w:rPr>
          <w:bCs/>
        </w:rPr>
        <w:t xml:space="preserve"> (Summer 1989), pp. 3-18. (15 pp.)</w:t>
      </w:r>
    </w:p>
    <w:p w14:paraId="6EA45D31" w14:textId="77777777" w:rsidR="00E279E3" w:rsidRPr="00385E06" w:rsidRDefault="00E279E3" w:rsidP="00E279E3">
      <w:pPr>
        <w:pStyle w:val="ListParagraph"/>
        <w:numPr>
          <w:ilvl w:val="0"/>
          <w:numId w:val="30"/>
        </w:numPr>
      </w:pPr>
      <w:r w:rsidRPr="00385E06">
        <w:t xml:space="preserve">Charles Krauthammer, “The Unipolar Moment Revisited,” </w:t>
      </w:r>
      <w:r w:rsidRPr="00385E06">
        <w:rPr>
          <w:i/>
        </w:rPr>
        <w:t xml:space="preserve">National Interest </w:t>
      </w:r>
      <w:r w:rsidRPr="00385E06">
        <w:t>(Winter 2002-2003), pp. 5-17. (13 pp.)</w:t>
      </w:r>
    </w:p>
    <w:p w14:paraId="32981B03" w14:textId="77777777" w:rsidR="00E279E3" w:rsidRPr="00385E06" w:rsidRDefault="00E279E3" w:rsidP="00E279E3">
      <w:pPr>
        <w:pStyle w:val="ListParagraph"/>
        <w:numPr>
          <w:ilvl w:val="0"/>
          <w:numId w:val="30"/>
        </w:numPr>
      </w:pPr>
      <w:r w:rsidRPr="00385E06">
        <w:t xml:space="preserve">Samuel P. Huntington, “The Clash of Civilizations,” </w:t>
      </w:r>
      <w:r w:rsidRPr="00385E06">
        <w:rPr>
          <w:i/>
        </w:rPr>
        <w:t>Foreign Affairs</w:t>
      </w:r>
      <w:r w:rsidRPr="00385E06">
        <w:t xml:space="preserve"> 72 (1992-3), pp. 22-49. (26 pp.)</w:t>
      </w:r>
    </w:p>
    <w:p w14:paraId="1050FF76" w14:textId="77777777" w:rsidR="00E279E3" w:rsidRPr="00385E06" w:rsidRDefault="00E279E3" w:rsidP="00E279E3">
      <w:pPr>
        <w:pStyle w:val="ListParagraph"/>
        <w:numPr>
          <w:ilvl w:val="0"/>
          <w:numId w:val="30"/>
        </w:numPr>
      </w:pPr>
      <w:r w:rsidRPr="00385E06">
        <w:t>Michael Mandelbaum, “Is Major War Obsolete?</w:t>
      </w:r>
      <w:proofErr w:type="gramStart"/>
      <w:r w:rsidRPr="00385E06">
        <w:t>”,</w:t>
      </w:r>
      <w:proofErr w:type="gramEnd"/>
      <w:r w:rsidRPr="00385E06">
        <w:t xml:space="preserve"> </w:t>
      </w:r>
      <w:r w:rsidRPr="00385E06">
        <w:rPr>
          <w:i/>
          <w:iCs/>
        </w:rPr>
        <w:t>Survival</w:t>
      </w:r>
      <w:r w:rsidRPr="00385E06">
        <w:t>, 40/4, 1998-1999, pp. 20-38. (18 pp.)</w:t>
      </w:r>
    </w:p>
    <w:p w14:paraId="0E64FC48" w14:textId="77777777" w:rsidR="00E279E3" w:rsidRPr="00385E06" w:rsidRDefault="00E279E3" w:rsidP="00E279E3">
      <w:pPr>
        <w:pStyle w:val="ListParagraph"/>
        <w:numPr>
          <w:ilvl w:val="0"/>
          <w:numId w:val="30"/>
        </w:numPr>
      </w:pPr>
      <w:r w:rsidRPr="00385E06">
        <w:t xml:space="preserve">Anne-Marie Slaughter, “The Real New World Order,” </w:t>
      </w:r>
      <w:r w:rsidRPr="00385E06">
        <w:rPr>
          <w:i/>
        </w:rPr>
        <w:t xml:space="preserve">Foreign Affairs </w:t>
      </w:r>
      <w:r w:rsidRPr="00385E06">
        <w:t>(Sept/Oct 1997), pp. 183-197. (15 pp.)</w:t>
      </w:r>
    </w:p>
    <w:p w14:paraId="532F024A" w14:textId="77777777" w:rsidR="00385E06" w:rsidRPr="00385E06" w:rsidRDefault="00E279E3" w:rsidP="00E279E3">
      <w:pPr>
        <w:pStyle w:val="ListParagraph"/>
        <w:numPr>
          <w:ilvl w:val="0"/>
          <w:numId w:val="30"/>
        </w:numPr>
      </w:pPr>
      <w:r w:rsidRPr="00385E06">
        <w:t xml:space="preserve">Francis Fukuyama, “Second Thoughts: The Last Man in a Bottle,” </w:t>
      </w:r>
      <w:r w:rsidRPr="00385E06">
        <w:rPr>
          <w:i/>
        </w:rPr>
        <w:t>The National Interest</w:t>
      </w:r>
      <w:r w:rsidRPr="00385E06">
        <w:t xml:space="preserve"> (Summer 1999), pp. 16-20, 21-23, 31-33. (10 pp.)</w:t>
      </w:r>
    </w:p>
    <w:sectPr w:rsidR="00385E06" w:rsidRPr="00385E06" w:rsidSect="009F705C">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15227" w14:textId="77777777" w:rsidR="00466FBE" w:rsidRDefault="00466FBE" w:rsidP="00C41205">
      <w:r>
        <w:separator/>
      </w:r>
    </w:p>
  </w:endnote>
  <w:endnote w:type="continuationSeparator" w:id="0">
    <w:p w14:paraId="7635BFA9" w14:textId="77777777" w:rsidR="00466FBE" w:rsidRDefault="00466FBE" w:rsidP="00C41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Roman">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新細明體">
    <w:charset w:val="51"/>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9844"/>
      <w:docPartObj>
        <w:docPartGallery w:val="Page Numbers (Bottom of Page)"/>
        <w:docPartUnique/>
      </w:docPartObj>
    </w:sdtPr>
    <w:sdtEndPr/>
    <w:sdtContent>
      <w:p w14:paraId="28024F8C" w14:textId="77777777" w:rsidR="00466FBE" w:rsidRDefault="00466FBE">
        <w:pPr>
          <w:pStyle w:val="Footer"/>
          <w:jc w:val="center"/>
        </w:pPr>
        <w:r>
          <w:fldChar w:fldCharType="begin"/>
        </w:r>
        <w:r>
          <w:instrText xml:space="preserve"> PAGE   \* MERGEFORMAT </w:instrText>
        </w:r>
        <w:r>
          <w:fldChar w:fldCharType="separate"/>
        </w:r>
        <w:r w:rsidR="00C46E13">
          <w:rPr>
            <w:noProof/>
          </w:rPr>
          <w:t>12</w:t>
        </w:r>
        <w:r>
          <w:rPr>
            <w:noProof/>
          </w:rPr>
          <w:fldChar w:fldCharType="end"/>
        </w:r>
      </w:p>
    </w:sdtContent>
  </w:sdt>
  <w:p w14:paraId="7BB2861F" w14:textId="77777777" w:rsidR="00466FBE" w:rsidRDefault="00466F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7AA32" w14:textId="77777777" w:rsidR="00466FBE" w:rsidRDefault="00466FBE" w:rsidP="00C41205">
      <w:r>
        <w:separator/>
      </w:r>
    </w:p>
  </w:footnote>
  <w:footnote w:type="continuationSeparator" w:id="0">
    <w:p w14:paraId="7AEE47E4" w14:textId="77777777" w:rsidR="00466FBE" w:rsidRDefault="00466FBE" w:rsidP="00C41205">
      <w:r>
        <w:continuationSeparator/>
      </w:r>
    </w:p>
  </w:footnote>
  <w:footnote w:id="1">
    <w:p w14:paraId="31F705B6" w14:textId="77777777" w:rsidR="00466FBE" w:rsidRDefault="00466FBE">
      <w:pPr>
        <w:pStyle w:val="FootnoteText"/>
      </w:pPr>
      <w:r>
        <w:rPr>
          <w:rStyle w:val="FootnoteReference"/>
        </w:rPr>
        <w:footnoteRef/>
      </w:r>
      <w:r>
        <w:t xml:space="preserve"> Since this evidently needs to be made explicitly clear, if you pick the March 8</w:t>
      </w:r>
      <w:r w:rsidRPr="00955295">
        <w:rPr>
          <w:vertAlign w:val="superscript"/>
        </w:rPr>
        <w:t>th</w:t>
      </w:r>
      <w:r>
        <w:t xml:space="preserve"> session, the paper must respond to readings from the March 8</w:t>
      </w:r>
      <w:r w:rsidRPr="00955295">
        <w:rPr>
          <w:vertAlign w:val="superscript"/>
        </w:rPr>
        <w:t>th</w:t>
      </w:r>
      <w:r>
        <w:t xml:space="preserve"> session.  It would be due March 7</w:t>
      </w:r>
      <w:r w:rsidRPr="00955295">
        <w:rPr>
          <w:vertAlign w:val="superscript"/>
        </w:rPr>
        <w:t>th</w:t>
      </w:r>
      <w:r>
        <w:t xml:space="preserve"> at 1 pm.</w:t>
      </w:r>
    </w:p>
  </w:footnote>
  <w:footnote w:id="2">
    <w:p w14:paraId="6CA2DBF9" w14:textId="77777777" w:rsidR="00466FBE" w:rsidRDefault="00466FBE">
      <w:pPr>
        <w:pStyle w:val="FootnoteText"/>
      </w:pPr>
      <w:r>
        <w:rPr>
          <w:rStyle w:val="FootnoteReference"/>
        </w:rPr>
        <w:footnoteRef/>
      </w:r>
      <w:r>
        <w:t xml:space="preserve"> In other words, citations don’t count against your word count, but – and I’m surprised I even need to write this – you </w:t>
      </w:r>
      <w:r w:rsidRPr="00611370">
        <w:rPr>
          <w:b/>
          <w:u w:val="single"/>
        </w:rPr>
        <w:t>do need</w:t>
      </w:r>
      <w:r w:rsidRPr="00611370">
        <w:t xml:space="preserve"> </w:t>
      </w:r>
      <w:r>
        <w:t>citations.  Please use Microsoft Word’s footnote feature, which automatically excludes text in footnotes from the word count.</w:t>
      </w:r>
    </w:p>
  </w:footnote>
  <w:footnote w:id="3">
    <w:p w14:paraId="3EDDDCE3" w14:textId="77777777" w:rsidR="00466FBE" w:rsidRDefault="00466FBE">
      <w:pPr>
        <w:pStyle w:val="FootnoteText"/>
      </w:pPr>
      <w:r>
        <w:rPr>
          <w:rStyle w:val="FootnoteReference"/>
        </w:rPr>
        <w:footnoteRef/>
      </w:r>
      <w:r>
        <w:t xml:space="preserve"> The late penalty is severe:  1/3 of a grade for every 20 mins. </w:t>
      </w:r>
      <w:proofErr w:type="gramStart"/>
      <w:r>
        <w:t>late</w:t>
      </w:r>
      <w:proofErr w:type="gramEnd"/>
      <w:r>
        <w:t xml:space="preserve"> or any portion thereof.  As an example, if you submit a paper 17 mins. </w:t>
      </w:r>
      <w:proofErr w:type="gramStart"/>
      <w:r>
        <w:t>after</w:t>
      </w:r>
      <w:proofErr w:type="gramEnd"/>
      <w:r>
        <w:t xml:space="preserve"> the deadline and it would have been an A, you receive an A-.</w:t>
      </w:r>
    </w:p>
    <w:p w14:paraId="606FCD00" w14:textId="77777777" w:rsidR="00466FBE" w:rsidRDefault="00466FBE">
      <w:pPr>
        <w:pStyle w:val="FootnoteText"/>
      </w:pPr>
    </w:p>
    <w:p w14:paraId="3C185F5A" w14:textId="77777777" w:rsidR="00466FBE" w:rsidRDefault="00466FBE">
      <w:pPr>
        <w:pStyle w:val="FootnoteText"/>
      </w:pPr>
      <w:r>
        <w:t xml:space="preserve">The penalty is severe for several reasons, all related to course goal 4.  First, you have all your deadlines provided well in advance.  There’s no excuse for not making adequate preparations.  Second, in the real world, deadlines are exceedingly important.  Your future bosses won’t care if you turn in something perfect if it is even 20 mins. </w:t>
      </w:r>
      <w:proofErr w:type="gramStart"/>
      <w:r>
        <w:t>late</w:t>
      </w:r>
      <w:proofErr w:type="gramEnd"/>
      <w:r>
        <w:t>.  Third, with small penalties, students try to game the system, trading off a small deduction for an overall better grade.  This is unfair to your classmates and fails to reinforce the importance of deadlines (see points 1 and 2 immediately above).</w:t>
      </w:r>
    </w:p>
  </w:footnote>
  <w:footnote w:id="4">
    <w:p w14:paraId="0E0EDE2F" w14:textId="77777777" w:rsidR="00466FBE" w:rsidRDefault="00466FBE" w:rsidP="00A72A2E">
      <w:pPr>
        <w:pStyle w:val="FootnoteText"/>
      </w:pPr>
      <w:r>
        <w:rPr>
          <w:rStyle w:val="FootnoteReference"/>
        </w:rPr>
        <w:footnoteRef/>
      </w:r>
      <w:r>
        <w:t xml:space="preserve"> See previous footnote.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6F0C"/>
    <w:multiLevelType w:val="hybridMultilevel"/>
    <w:tmpl w:val="E4067E18"/>
    <w:lvl w:ilvl="0" w:tplc="ED86B8F4">
      <w:start w:val="4"/>
      <w:numFmt w:val="bullet"/>
      <w:lvlText w:val="-"/>
      <w:lvlJc w:val="left"/>
      <w:pPr>
        <w:ind w:left="720" w:hanging="360"/>
      </w:pPr>
      <w:rPr>
        <w:rFonts w:ascii="Times Roman" w:eastAsia="Times New Roman" w:hAnsi="Times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14476"/>
    <w:multiLevelType w:val="hybridMultilevel"/>
    <w:tmpl w:val="5AA2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0739A"/>
    <w:multiLevelType w:val="hybridMultilevel"/>
    <w:tmpl w:val="5D52A6A4"/>
    <w:lvl w:ilvl="0" w:tplc="ED86B8F4">
      <w:start w:val="4"/>
      <w:numFmt w:val="bullet"/>
      <w:lvlText w:val="-"/>
      <w:lvlJc w:val="left"/>
      <w:pPr>
        <w:ind w:left="720" w:hanging="360"/>
      </w:pPr>
      <w:rPr>
        <w:rFonts w:ascii="Times Roman" w:eastAsia="Times New Roman" w:hAnsi="Times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D51B7"/>
    <w:multiLevelType w:val="hybridMultilevel"/>
    <w:tmpl w:val="50E0F17A"/>
    <w:lvl w:ilvl="0" w:tplc="ED86B8F4">
      <w:start w:val="4"/>
      <w:numFmt w:val="bullet"/>
      <w:lvlText w:val="-"/>
      <w:lvlJc w:val="left"/>
      <w:pPr>
        <w:ind w:left="720" w:hanging="360"/>
      </w:pPr>
      <w:rPr>
        <w:rFonts w:ascii="Times Roman" w:eastAsia="Times New Roman" w:hAnsi="Times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65C95"/>
    <w:multiLevelType w:val="hybridMultilevel"/>
    <w:tmpl w:val="396EACB0"/>
    <w:lvl w:ilvl="0" w:tplc="DEC269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76026"/>
    <w:multiLevelType w:val="hybridMultilevel"/>
    <w:tmpl w:val="B06836D2"/>
    <w:lvl w:ilvl="0" w:tplc="DEC269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21E24"/>
    <w:multiLevelType w:val="hybridMultilevel"/>
    <w:tmpl w:val="F80EBF86"/>
    <w:lvl w:ilvl="0" w:tplc="DEC269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90A88"/>
    <w:multiLevelType w:val="hybridMultilevel"/>
    <w:tmpl w:val="75BAE726"/>
    <w:lvl w:ilvl="0" w:tplc="ED86B8F4">
      <w:start w:val="4"/>
      <w:numFmt w:val="bullet"/>
      <w:lvlText w:val="-"/>
      <w:lvlJc w:val="left"/>
      <w:pPr>
        <w:ind w:left="720" w:hanging="360"/>
      </w:pPr>
      <w:rPr>
        <w:rFonts w:ascii="Times Roman" w:eastAsia="Times New Roman" w:hAnsi="Times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B6C66"/>
    <w:multiLevelType w:val="hybridMultilevel"/>
    <w:tmpl w:val="F03A9E26"/>
    <w:lvl w:ilvl="0" w:tplc="BFC2E7D2">
      <w:numFmt w:val="bullet"/>
      <w:lvlText w:val="-"/>
      <w:lvlJc w:val="left"/>
      <w:pPr>
        <w:ind w:left="720" w:hanging="360"/>
      </w:pPr>
      <w:rPr>
        <w:rFonts w:ascii="Times New Roman" w:eastAsiaTheme="minorHAnsi" w:hAnsi="Times New Roman" w:cs="Times New Roman" w:hint="default"/>
        <w: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2478D9"/>
    <w:multiLevelType w:val="hybridMultilevel"/>
    <w:tmpl w:val="CDDE5F42"/>
    <w:lvl w:ilvl="0" w:tplc="DEC269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21313A"/>
    <w:multiLevelType w:val="hybridMultilevel"/>
    <w:tmpl w:val="505AF2C6"/>
    <w:lvl w:ilvl="0" w:tplc="EB9E9682">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22345541"/>
    <w:multiLevelType w:val="hybridMultilevel"/>
    <w:tmpl w:val="D5862852"/>
    <w:lvl w:ilvl="0" w:tplc="ED86B8F4">
      <w:start w:val="4"/>
      <w:numFmt w:val="bullet"/>
      <w:lvlText w:val="-"/>
      <w:lvlJc w:val="left"/>
      <w:pPr>
        <w:ind w:left="720" w:hanging="360"/>
      </w:pPr>
      <w:rPr>
        <w:rFonts w:ascii="Times Roman" w:eastAsia="Times New Roman" w:hAnsi="Times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65751A"/>
    <w:multiLevelType w:val="hybridMultilevel"/>
    <w:tmpl w:val="86DAE9C4"/>
    <w:lvl w:ilvl="0" w:tplc="A0C670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77136E"/>
    <w:multiLevelType w:val="hybridMultilevel"/>
    <w:tmpl w:val="3EB280C6"/>
    <w:lvl w:ilvl="0" w:tplc="ED86B8F4">
      <w:start w:val="4"/>
      <w:numFmt w:val="bullet"/>
      <w:lvlText w:val="-"/>
      <w:lvlJc w:val="left"/>
      <w:pPr>
        <w:ind w:left="720" w:hanging="360"/>
      </w:pPr>
      <w:rPr>
        <w:rFonts w:ascii="Times Roman" w:eastAsia="Times New Roman" w:hAnsi="Times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D203EF"/>
    <w:multiLevelType w:val="hybridMultilevel"/>
    <w:tmpl w:val="45484DD0"/>
    <w:lvl w:ilvl="0" w:tplc="ED86B8F4">
      <w:start w:val="4"/>
      <w:numFmt w:val="bullet"/>
      <w:lvlText w:val="-"/>
      <w:lvlJc w:val="left"/>
      <w:pPr>
        <w:ind w:left="720" w:hanging="360"/>
      </w:pPr>
      <w:rPr>
        <w:rFonts w:ascii="Times Roman" w:eastAsia="Times New Roman" w:hAnsi="Times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445AC2"/>
    <w:multiLevelType w:val="hybridMultilevel"/>
    <w:tmpl w:val="172C7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B53509"/>
    <w:multiLevelType w:val="hybridMultilevel"/>
    <w:tmpl w:val="3FFAC514"/>
    <w:lvl w:ilvl="0" w:tplc="CC20A26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193E34"/>
    <w:multiLevelType w:val="hybridMultilevel"/>
    <w:tmpl w:val="2AEAA5FC"/>
    <w:lvl w:ilvl="0" w:tplc="ED86B8F4">
      <w:start w:val="4"/>
      <w:numFmt w:val="bullet"/>
      <w:lvlText w:val="-"/>
      <w:lvlJc w:val="left"/>
      <w:pPr>
        <w:ind w:left="720" w:hanging="360"/>
      </w:pPr>
      <w:rPr>
        <w:rFonts w:ascii="Times Roman" w:eastAsia="Times New Roman" w:hAnsi="Times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330BE6"/>
    <w:multiLevelType w:val="hybridMultilevel"/>
    <w:tmpl w:val="6EF059BA"/>
    <w:lvl w:ilvl="0" w:tplc="DEC269B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C797AF6"/>
    <w:multiLevelType w:val="hybridMultilevel"/>
    <w:tmpl w:val="1A48A03E"/>
    <w:lvl w:ilvl="0" w:tplc="EB9E9682">
      <w:start w:val="20"/>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8B28A1"/>
    <w:multiLevelType w:val="hybridMultilevel"/>
    <w:tmpl w:val="C3A65138"/>
    <w:lvl w:ilvl="0" w:tplc="DEC269B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DDF1C76"/>
    <w:multiLevelType w:val="hybridMultilevel"/>
    <w:tmpl w:val="0040D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4858AA"/>
    <w:multiLevelType w:val="hybridMultilevel"/>
    <w:tmpl w:val="9AC4F898"/>
    <w:lvl w:ilvl="0" w:tplc="ED86B8F4">
      <w:start w:val="4"/>
      <w:numFmt w:val="bullet"/>
      <w:lvlText w:val="-"/>
      <w:lvlJc w:val="left"/>
      <w:pPr>
        <w:ind w:left="720" w:hanging="360"/>
      </w:pPr>
      <w:rPr>
        <w:rFonts w:ascii="Times Roman" w:eastAsia="Times New Roman" w:hAnsi="Times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68309D"/>
    <w:multiLevelType w:val="hybridMultilevel"/>
    <w:tmpl w:val="C90ED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DC3182"/>
    <w:multiLevelType w:val="hybridMultilevel"/>
    <w:tmpl w:val="28D6040A"/>
    <w:lvl w:ilvl="0" w:tplc="ED86B8F4">
      <w:start w:val="4"/>
      <w:numFmt w:val="bullet"/>
      <w:lvlText w:val="-"/>
      <w:lvlJc w:val="left"/>
      <w:pPr>
        <w:ind w:left="360" w:hanging="360"/>
      </w:pPr>
      <w:rPr>
        <w:rFonts w:ascii="Times Roman" w:eastAsia="Times New Roman" w:hAnsi="Times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6456F76"/>
    <w:multiLevelType w:val="hybridMultilevel"/>
    <w:tmpl w:val="90AEDFD2"/>
    <w:lvl w:ilvl="0" w:tplc="DEC269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7E057F"/>
    <w:multiLevelType w:val="hybridMultilevel"/>
    <w:tmpl w:val="178472DA"/>
    <w:lvl w:ilvl="0" w:tplc="ED86B8F4">
      <w:start w:val="4"/>
      <w:numFmt w:val="bullet"/>
      <w:lvlText w:val="-"/>
      <w:lvlJc w:val="left"/>
      <w:pPr>
        <w:ind w:left="720" w:hanging="360"/>
      </w:pPr>
      <w:rPr>
        <w:rFonts w:ascii="Times Roman" w:eastAsia="Times New Roman" w:hAnsi="Times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8723F0"/>
    <w:multiLevelType w:val="hybridMultilevel"/>
    <w:tmpl w:val="DC5C7454"/>
    <w:lvl w:ilvl="0" w:tplc="DEC269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4F05D8"/>
    <w:multiLevelType w:val="hybridMultilevel"/>
    <w:tmpl w:val="D9F8BFC4"/>
    <w:lvl w:ilvl="0" w:tplc="ED86B8F4">
      <w:start w:val="4"/>
      <w:numFmt w:val="bullet"/>
      <w:lvlText w:val="-"/>
      <w:lvlJc w:val="left"/>
      <w:pPr>
        <w:ind w:left="720" w:hanging="360"/>
      </w:pPr>
      <w:rPr>
        <w:rFonts w:ascii="Times Roman" w:eastAsia="Times New Roman" w:hAnsi="Times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A34F33"/>
    <w:multiLevelType w:val="hybridMultilevel"/>
    <w:tmpl w:val="3F96E7F8"/>
    <w:lvl w:ilvl="0" w:tplc="DEC269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BA528B"/>
    <w:multiLevelType w:val="hybridMultilevel"/>
    <w:tmpl w:val="B7389324"/>
    <w:lvl w:ilvl="0" w:tplc="DEC269B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E8D71BA"/>
    <w:multiLevelType w:val="hybridMultilevel"/>
    <w:tmpl w:val="6E226D90"/>
    <w:lvl w:ilvl="0" w:tplc="ED86B8F4">
      <w:start w:val="4"/>
      <w:numFmt w:val="bullet"/>
      <w:lvlText w:val="-"/>
      <w:lvlJc w:val="left"/>
      <w:pPr>
        <w:ind w:left="720" w:hanging="360"/>
      </w:pPr>
      <w:rPr>
        <w:rFonts w:ascii="Times Roman" w:eastAsia="Times New Roman" w:hAnsi="Times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B564A4"/>
    <w:multiLevelType w:val="hybridMultilevel"/>
    <w:tmpl w:val="5EFE9D36"/>
    <w:lvl w:ilvl="0" w:tplc="A0C670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7C52E9"/>
    <w:multiLevelType w:val="hybridMultilevel"/>
    <w:tmpl w:val="154A247A"/>
    <w:lvl w:ilvl="0" w:tplc="DEC269B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B97F1A"/>
    <w:multiLevelType w:val="hybridMultilevel"/>
    <w:tmpl w:val="C89E0EAE"/>
    <w:lvl w:ilvl="0" w:tplc="ED86B8F4">
      <w:start w:val="4"/>
      <w:numFmt w:val="bullet"/>
      <w:lvlText w:val="-"/>
      <w:lvlJc w:val="left"/>
      <w:pPr>
        <w:ind w:left="720" w:hanging="360"/>
      </w:pPr>
      <w:rPr>
        <w:rFonts w:ascii="Times Roman" w:eastAsia="Times New Roman" w:hAnsi="Times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DD0CF4"/>
    <w:multiLevelType w:val="hybridMultilevel"/>
    <w:tmpl w:val="687CC750"/>
    <w:lvl w:ilvl="0" w:tplc="A0C670C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DE51272"/>
    <w:multiLevelType w:val="hybridMultilevel"/>
    <w:tmpl w:val="C992775E"/>
    <w:lvl w:ilvl="0" w:tplc="ED86B8F4">
      <w:start w:val="4"/>
      <w:numFmt w:val="bullet"/>
      <w:lvlText w:val="-"/>
      <w:lvlJc w:val="left"/>
      <w:pPr>
        <w:ind w:left="720" w:hanging="360"/>
      </w:pPr>
      <w:rPr>
        <w:rFonts w:ascii="Times Roman" w:eastAsia="Times New Roman" w:hAnsi="Times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D9183B"/>
    <w:multiLevelType w:val="hybridMultilevel"/>
    <w:tmpl w:val="9EBAD012"/>
    <w:lvl w:ilvl="0" w:tplc="DEC269B6">
      <w:numFmt w:val="bullet"/>
      <w:lvlText w:val="-"/>
      <w:lvlJc w:val="left"/>
      <w:pPr>
        <w:ind w:left="765" w:hanging="360"/>
      </w:pPr>
      <w:rPr>
        <w:rFonts w:ascii="Times New Roman" w:eastAsiaTheme="minorHAnsi"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3"/>
  </w:num>
  <w:num w:numId="2">
    <w:abstractNumId w:val="21"/>
  </w:num>
  <w:num w:numId="3">
    <w:abstractNumId w:val="10"/>
  </w:num>
  <w:num w:numId="4">
    <w:abstractNumId w:val="20"/>
  </w:num>
  <w:num w:numId="5">
    <w:abstractNumId w:val="35"/>
  </w:num>
  <w:num w:numId="6">
    <w:abstractNumId w:val="33"/>
  </w:num>
  <w:num w:numId="7">
    <w:abstractNumId w:val="15"/>
  </w:num>
  <w:num w:numId="8">
    <w:abstractNumId w:val="18"/>
  </w:num>
  <w:num w:numId="9">
    <w:abstractNumId w:val="30"/>
  </w:num>
  <w:num w:numId="10">
    <w:abstractNumId w:val="5"/>
  </w:num>
  <w:num w:numId="11">
    <w:abstractNumId w:val="9"/>
  </w:num>
  <w:num w:numId="12">
    <w:abstractNumId w:val="37"/>
  </w:num>
  <w:num w:numId="13">
    <w:abstractNumId w:val="6"/>
  </w:num>
  <w:num w:numId="14">
    <w:abstractNumId w:val="29"/>
  </w:num>
  <w:num w:numId="15">
    <w:abstractNumId w:val="27"/>
  </w:num>
  <w:num w:numId="16">
    <w:abstractNumId w:val="4"/>
  </w:num>
  <w:num w:numId="17">
    <w:abstractNumId w:val="3"/>
  </w:num>
  <w:num w:numId="18">
    <w:abstractNumId w:val="26"/>
  </w:num>
  <w:num w:numId="19">
    <w:abstractNumId w:val="11"/>
  </w:num>
  <w:num w:numId="20">
    <w:abstractNumId w:val="0"/>
  </w:num>
  <w:num w:numId="21">
    <w:abstractNumId w:val="17"/>
  </w:num>
  <w:num w:numId="22">
    <w:abstractNumId w:val="2"/>
  </w:num>
  <w:num w:numId="23">
    <w:abstractNumId w:val="28"/>
  </w:num>
  <w:num w:numId="24">
    <w:abstractNumId w:val="34"/>
  </w:num>
  <w:num w:numId="25">
    <w:abstractNumId w:val="13"/>
  </w:num>
  <w:num w:numId="26">
    <w:abstractNumId w:val="31"/>
  </w:num>
  <w:num w:numId="27">
    <w:abstractNumId w:val="14"/>
  </w:num>
  <w:num w:numId="28">
    <w:abstractNumId w:val="36"/>
  </w:num>
  <w:num w:numId="29">
    <w:abstractNumId w:val="7"/>
  </w:num>
  <w:num w:numId="30">
    <w:abstractNumId w:val="22"/>
  </w:num>
  <w:num w:numId="31">
    <w:abstractNumId w:val="16"/>
  </w:num>
  <w:num w:numId="32">
    <w:abstractNumId w:val="25"/>
  </w:num>
  <w:num w:numId="33">
    <w:abstractNumId w:val="19"/>
  </w:num>
  <w:num w:numId="34">
    <w:abstractNumId w:val="1"/>
  </w:num>
  <w:num w:numId="35">
    <w:abstractNumId w:val="12"/>
  </w:num>
  <w:num w:numId="36">
    <w:abstractNumId w:val="32"/>
  </w:num>
  <w:num w:numId="37">
    <w:abstractNumId w:val="8"/>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FB9"/>
    <w:rsid w:val="000021A7"/>
    <w:rsid w:val="00004F63"/>
    <w:rsid w:val="000113CD"/>
    <w:rsid w:val="00020C6E"/>
    <w:rsid w:val="00037730"/>
    <w:rsid w:val="000438F2"/>
    <w:rsid w:val="0004579B"/>
    <w:rsid w:val="0004699A"/>
    <w:rsid w:val="00066AE9"/>
    <w:rsid w:val="00080A13"/>
    <w:rsid w:val="000908A5"/>
    <w:rsid w:val="000B1FE4"/>
    <w:rsid w:val="000D3BA0"/>
    <w:rsid w:val="000E1407"/>
    <w:rsid w:val="000E469D"/>
    <w:rsid w:val="000F2DDD"/>
    <w:rsid w:val="00103808"/>
    <w:rsid w:val="001130D7"/>
    <w:rsid w:val="001252C5"/>
    <w:rsid w:val="0012620D"/>
    <w:rsid w:val="00140EC2"/>
    <w:rsid w:val="00143588"/>
    <w:rsid w:val="001442CD"/>
    <w:rsid w:val="00151FBC"/>
    <w:rsid w:val="00185303"/>
    <w:rsid w:val="00187A84"/>
    <w:rsid w:val="00194196"/>
    <w:rsid w:val="001A73FB"/>
    <w:rsid w:val="001A742F"/>
    <w:rsid w:val="001B069F"/>
    <w:rsid w:val="001B32FD"/>
    <w:rsid w:val="001B611A"/>
    <w:rsid w:val="001B63D8"/>
    <w:rsid w:val="001C747A"/>
    <w:rsid w:val="001D191E"/>
    <w:rsid w:val="001D6705"/>
    <w:rsid w:val="001E0BBB"/>
    <w:rsid w:val="001E3984"/>
    <w:rsid w:val="001F6D84"/>
    <w:rsid w:val="00220B09"/>
    <w:rsid w:val="00221FC5"/>
    <w:rsid w:val="00233D09"/>
    <w:rsid w:val="00242B3D"/>
    <w:rsid w:val="002519E5"/>
    <w:rsid w:val="00251F11"/>
    <w:rsid w:val="002533ED"/>
    <w:rsid w:val="00253E1A"/>
    <w:rsid w:val="002549DC"/>
    <w:rsid w:val="00256392"/>
    <w:rsid w:val="00260F57"/>
    <w:rsid w:val="00261735"/>
    <w:rsid w:val="0027213B"/>
    <w:rsid w:val="00274917"/>
    <w:rsid w:val="00275FFE"/>
    <w:rsid w:val="002768F3"/>
    <w:rsid w:val="00287BB2"/>
    <w:rsid w:val="002922CB"/>
    <w:rsid w:val="002949E9"/>
    <w:rsid w:val="002A0138"/>
    <w:rsid w:val="002B1897"/>
    <w:rsid w:val="002B3415"/>
    <w:rsid w:val="002B771D"/>
    <w:rsid w:val="002C738E"/>
    <w:rsid w:val="002D22F1"/>
    <w:rsid w:val="002D36CF"/>
    <w:rsid w:val="002D3FB9"/>
    <w:rsid w:val="002D47F3"/>
    <w:rsid w:val="002E081E"/>
    <w:rsid w:val="002E0F19"/>
    <w:rsid w:val="002F41AD"/>
    <w:rsid w:val="003035DA"/>
    <w:rsid w:val="00310E2F"/>
    <w:rsid w:val="00330B09"/>
    <w:rsid w:val="00336169"/>
    <w:rsid w:val="00336E3C"/>
    <w:rsid w:val="00346632"/>
    <w:rsid w:val="00352D0C"/>
    <w:rsid w:val="003723DD"/>
    <w:rsid w:val="0037416C"/>
    <w:rsid w:val="00385E06"/>
    <w:rsid w:val="003933FD"/>
    <w:rsid w:val="00396E13"/>
    <w:rsid w:val="003A4F7D"/>
    <w:rsid w:val="003A686B"/>
    <w:rsid w:val="003A7F80"/>
    <w:rsid w:val="003C0B12"/>
    <w:rsid w:val="003C6F5B"/>
    <w:rsid w:val="003D4282"/>
    <w:rsid w:val="003D5314"/>
    <w:rsid w:val="003E2C85"/>
    <w:rsid w:val="003E542F"/>
    <w:rsid w:val="003E62F0"/>
    <w:rsid w:val="003F3CBB"/>
    <w:rsid w:val="003F4C1F"/>
    <w:rsid w:val="003F4F7C"/>
    <w:rsid w:val="003F5DF3"/>
    <w:rsid w:val="0041480B"/>
    <w:rsid w:val="00422C56"/>
    <w:rsid w:val="00423A3E"/>
    <w:rsid w:val="00424833"/>
    <w:rsid w:val="004320E3"/>
    <w:rsid w:val="00435C81"/>
    <w:rsid w:val="00440D52"/>
    <w:rsid w:val="004417F3"/>
    <w:rsid w:val="004454BE"/>
    <w:rsid w:val="0045789C"/>
    <w:rsid w:val="00463D7A"/>
    <w:rsid w:val="00466FBE"/>
    <w:rsid w:val="0047139E"/>
    <w:rsid w:val="00482102"/>
    <w:rsid w:val="00485D57"/>
    <w:rsid w:val="00487AFF"/>
    <w:rsid w:val="00495270"/>
    <w:rsid w:val="0049721F"/>
    <w:rsid w:val="004A3244"/>
    <w:rsid w:val="004A34E0"/>
    <w:rsid w:val="004A52F3"/>
    <w:rsid w:val="004B3521"/>
    <w:rsid w:val="004B38FA"/>
    <w:rsid w:val="004D5343"/>
    <w:rsid w:val="004D6856"/>
    <w:rsid w:val="004E4999"/>
    <w:rsid w:val="004E7027"/>
    <w:rsid w:val="004F272A"/>
    <w:rsid w:val="00503B0F"/>
    <w:rsid w:val="00510FAC"/>
    <w:rsid w:val="005118EA"/>
    <w:rsid w:val="00511DB7"/>
    <w:rsid w:val="005140E8"/>
    <w:rsid w:val="005160CD"/>
    <w:rsid w:val="005313E7"/>
    <w:rsid w:val="00531D3C"/>
    <w:rsid w:val="00542191"/>
    <w:rsid w:val="00545DE9"/>
    <w:rsid w:val="0056319B"/>
    <w:rsid w:val="00570074"/>
    <w:rsid w:val="00577F1C"/>
    <w:rsid w:val="00595149"/>
    <w:rsid w:val="00597581"/>
    <w:rsid w:val="005A4E73"/>
    <w:rsid w:val="005A5A8D"/>
    <w:rsid w:val="005B7D1A"/>
    <w:rsid w:val="005C2035"/>
    <w:rsid w:val="005C28E3"/>
    <w:rsid w:val="005C377F"/>
    <w:rsid w:val="005E027C"/>
    <w:rsid w:val="005E21DD"/>
    <w:rsid w:val="005F2115"/>
    <w:rsid w:val="00605240"/>
    <w:rsid w:val="0060568E"/>
    <w:rsid w:val="00611370"/>
    <w:rsid w:val="00612276"/>
    <w:rsid w:val="00622631"/>
    <w:rsid w:val="00622DD3"/>
    <w:rsid w:val="00627D5B"/>
    <w:rsid w:val="00651887"/>
    <w:rsid w:val="006533DE"/>
    <w:rsid w:val="00665AEE"/>
    <w:rsid w:val="00681C15"/>
    <w:rsid w:val="0069439A"/>
    <w:rsid w:val="006A7B0B"/>
    <w:rsid w:val="006C0958"/>
    <w:rsid w:val="006C3E1B"/>
    <w:rsid w:val="006C6F32"/>
    <w:rsid w:val="006E04B7"/>
    <w:rsid w:val="006E0F3C"/>
    <w:rsid w:val="006E1973"/>
    <w:rsid w:val="006E538D"/>
    <w:rsid w:val="00707AA3"/>
    <w:rsid w:val="00717533"/>
    <w:rsid w:val="00722115"/>
    <w:rsid w:val="00723697"/>
    <w:rsid w:val="007438B8"/>
    <w:rsid w:val="00756993"/>
    <w:rsid w:val="00776DDE"/>
    <w:rsid w:val="0077730A"/>
    <w:rsid w:val="00783CFF"/>
    <w:rsid w:val="00795DBB"/>
    <w:rsid w:val="007A1619"/>
    <w:rsid w:val="007A48BB"/>
    <w:rsid w:val="007B7387"/>
    <w:rsid w:val="007C2A48"/>
    <w:rsid w:val="007C5AEB"/>
    <w:rsid w:val="007C7254"/>
    <w:rsid w:val="007D11BE"/>
    <w:rsid w:val="007E2418"/>
    <w:rsid w:val="007E5E9D"/>
    <w:rsid w:val="007F0B9C"/>
    <w:rsid w:val="007F0F2C"/>
    <w:rsid w:val="0080167C"/>
    <w:rsid w:val="0080499E"/>
    <w:rsid w:val="008107CF"/>
    <w:rsid w:val="0082428C"/>
    <w:rsid w:val="00833F7D"/>
    <w:rsid w:val="00841A4E"/>
    <w:rsid w:val="00842F3A"/>
    <w:rsid w:val="0084393C"/>
    <w:rsid w:val="00844A01"/>
    <w:rsid w:val="008467F1"/>
    <w:rsid w:val="00850038"/>
    <w:rsid w:val="008501E6"/>
    <w:rsid w:val="00850B5E"/>
    <w:rsid w:val="00852BA9"/>
    <w:rsid w:val="00855A3D"/>
    <w:rsid w:val="0086053F"/>
    <w:rsid w:val="00864C69"/>
    <w:rsid w:val="00866EF3"/>
    <w:rsid w:val="00875072"/>
    <w:rsid w:val="008849F5"/>
    <w:rsid w:val="00884A0F"/>
    <w:rsid w:val="008923DE"/>
    <w:rsid w:val="00897BFD"/>
    <w:rsid w:val="008B1DD5"/>
    <w:rsid w:val="008B3B4B"/>
    <w:rsid w:val="008C2161"/>
    <w:rsid w:val="008D380A"/>
    <w:rsid w:val="008D5CE9"/>
    <w:rsid w:val="008D6E1D"/>
    <w:rsid w:val="008D7C1C"/>
    <w:rsid w:val="008E20A8"/>
    <w:rsid w:val="008E26F1"/>
    <w:rsid w:val="008E7709"/>
    <w:rsid w:val="00921841"/>
    <w:rsid w:val="00927E92"/>
    <w:rsid w:val="0093613E"/>
    <w:rsid w:val="00937BB7"/>
    <w:rsid w:val="009510E5"/>
    <w:rsid w:val="00955295"/>
    <w:rsid w:val="00963B00"/>
    <w:rsid w:val="0096479C"/>
    <w:rsid w:val="009661BD"/>
    <w:rsid w:val="0097007C"/>
    <w:rsid w:val="00975B96"/>
    <w:rsid w:val="009770C7"/>
    <w:rsid w:val="00984ABB"/>
    <w:rsid w:val="009856A6"/>
    <w:rsid w:val="00985FFC"/>
    <w:rsid w:val="009927F3"/>
    <w:rsid w:val="00993F25"/>
    <w:rsid w:val="00994ED5"/>
    <w:rsid w:val="00997973"/>
    <w:rsid w:val="009A00E5"/>
    <w:rsid w:val="009B4D9D"/>
    <w:rsid w:val="009B7817"/>
    <w:rsid w:val="009B7F67"/>
    <w:rsid w:val="009D1EE7"/>
    <w:rsid w:val="009E17EE"/>
    <w:rsid w:val="009E1AE5"/>
    <w:rsid w:val="009E1D06"/>
    <w:rsid w:val="009F705C"/>
    <w:rsid w:val="009F710A"/>
    <w:rsid w:val="00A07C7E"/>
    <w:rsid w:val="00A156F0"/>
    <w:rsid w:val="00A24F9C"/>
    <w:rsid w:val="00A27457"/>
    <w:rsid w:val="00A4781C"/>
    <w:rsid w:val="00A63411"/>
    <w:rsid w:val="00A64CBE"/>
    <w:rsid w:val="00A66453"/>
    <w:rsid w:val="00A727A8"/>
    <w:rsid w:val="00A72A2E"/>
    <w:rsid w:val="00A763B7"/>
    <w:rsid w:val="00A8506B"/>
    <w:rsid w:val="00A97D21"/>
    <w:rsid w:val="00AB4180"/>
    <w:rsid w:val="00AB4532"/>
    <w:rsid w:val="00AB5E9A"/>
    <w:rsid w:val="00AD1305"/>
    <w:rsid w:val="00AE2164"/>
    <w:rsid w:val="00AE50F4"/>
    <w:rsid w:val="00AE63B7"/>
    <w:rsid w:val="00AF4172"/>
    <w:rsid w:val="00AF704A"/>
    <w:rsid w:val="00B10332"/>
    <w:rsid w:val="00B15C93"/>
    <w:rsid w:val="00B30D1B"/>
    <w:rsid w:val="00B32363"/>
    <w:rsid w:val="00B366DB"/>
    <w:rsid w:val="00B417B1"/>
    <w:rsid w:val="00B432CC"/>
    <w:rsid w:val="00B47395"/>
    <w:rsid w:val="00B61830"/>
    <w:rsid w:val="00B61FD5"/>
    <w:rsid w:val="00B62D69"/>
    <w:rsid w:val="00B66DBA"/>
    <w:rsid w:val="00B745CC"/>
    <w:rsid w:val="00BA11EF"/>
    <w:rsid w:val="00BA394C"/>
    <w:rsid w:val="00BA3BFA"/>
    <w:rsid w:val="00BB2CDF"/>
    <w:rsid w:val="00BB6964"/>
    <w:rsid w:val="00BC0AF7"/>
    <w:rsid w:val="00BC2A6B"/>
    <w:rsid w:val="00BC4578"/>
    <w:rsid w:val="00BC4DF0"/>
    <w:rsid w:val="00BD7D99"/>
    <w:rsid w:val="00C0097E"/>
    <w:rsid w:val="00C11905"/>
    <w:rsid w:val="00C12101"/>
    <w:rsid w:val="00C164A3"/>
    <w:rsid w:val="00C231E5"/>
    <w:rsid w:val="00C24A8E"/>
    <w:rsid w:val="00C25130"/>
    <w:rsid w:val="00C41205"/>
    <w:rsid w:val="00C436D7"/>
    <w:rsid w:val="00C46E13"/>
    <w:rsid w:val="00C55BE6"/>
    <w:rsid w:val="00C70362"/>
    <w:rsid w:val="00C836C3"/>
    <w:rsid w:val="00C95E1E"/>
    <w:rsid w:val="00C96FD4"/>
    <w:rsid w:val="00CA0502"/>
    <w:rsid w:val="00CA0CC7"/>
    <w:rsid w:val="00CA6874"/>
    <w:rsid w:val="00CB0566"/>
    <w:rsid w:val="00CB339A"/>
    <w:rsid w:val="00CB4F56"/>
    <w:rsid w:val="00CB56EF"/>
    <w:rsid w:val="00CC1340"/>
    <w:rsid w:val="00CC1DBE"/>
    <w:rsid w:val="00CC3FFD"/>
    <w:rsid w:val="00CE15AB"/>
    <w:rsid w:val="00CE3149"/>
    <w:rsid w:val="00D02FE5"/>
    <w:rsid w:val="00D05FAB"/>
    <w:rsid w:val="00D33885"/>
    <w:rsid w:val="00D402B6"/>
    <w:rsid w:val="00D538E9"/>
    <w:rsid w:val="00D63A4E"/>
    <w:rsid w:val="00D80FD9"/>
    <w:rsid w:val="00D85D6D"/>
    <w:rsid w:val="00D95C76"/>
    <w:rsid w:val="00DA5FA4"/>
    <w:rsid w:val="00DB28F7"/>
    <w:rsid w:val="00DB3DC3"/>
    <w:rsid w:val="00DB7B9F"/>
    <w:rsid w:val="00DC7B09"/>
    <w:rsid w:val="00DD0F24"/>
    <w:rsid w:val="00DD3117"/>
    <w:rsid w:val="00DE27F6"/>
    <w:rsid w:val="00DE5497"/>
    <w:rsid w:val="00DF2B77"/>
    <w:rsid w:val="00DF3868"/>
    <w:rsid w:val="00DF40D7"/>
    <w:rsid w:val="00DF54D3"/>
    <w:rsid w:val="00DF55E4"/>
    <w:rsid w:val="00DF7595"/>
    <w:rsid w:val="00E0125D"/>
    <w:rsid w:val="00E03213"/>
    <w:rsid w:val="00E06FC2"/>
    <w:rsid w:val="00E22D60"/>
    <w:rsid w:val="00E2429C"/>
    <w:rsid w:val="00E27435"/>
    <w:rsid w:val="00E279E3"/>
    <w:rsid w:val="00E43396"/>
    <w:rsid w:val="00E50EAF"/>
    <w:rsid w:val="00E55CE9"/>
    <w:rsid w:val="00E61E38"/>
    <w:rsid w:val="00E63292"/>
    <w:rsid w:val="00E73F75"/>
    <w:rsid w:val="00E75A6A"/>
    <w:rsid w:val="00E91499"/>
    <w:rsid w:val="00EC2717"/>
    <w:rsid w:val="00EC5AC2"/>
    <w:rsid w:val="00EC707D"/>
    <w:rsid w:val="00EE0516"/>
    <w:rsid w:val="00EE3359"/>
    <w:rsid w:val="00EE39F0"/>
    <w:rsid w:val="00EE5CE6"/>
    <w:rsid w:val="00EE649A"/>
    <w:rsid w:val="00EF3F72"/>
    <w:rsid w:val="00F12826"/>
    <w:rsid w:val="00F1607F"/>
    <w:rsid w:val="00F22FF3"/>
    <w:rsid w:val="00F25A13"/>
    <w:rsid w:val="00F25BB0"/>
    <w:rsid w:val="00F3591E"/>
    <w:rsid w:val="00F431ED"/>
    <w:rsid w:val="00F54600"/>
    <w:rsid w:val="00F7319A"/>
    <w:rsid w:val="00F90AF8"/>
    <w:rsid w:val="00FB2088"/>
    <w:rsid w:val="00FB7DF0"/>
    <w:rsid w:val="00FC01CD"/>
    <w:rsid w:val="00FC42AE"/>
    <w:rsid w:val="00FD7C65"/>
    <w:rsid w:val="00FF1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D0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FB9"/>
    <w:rPr>
      <w:color w:val="0000FF" w:themeColor="hyperlink"/>
      <w:u w:val="single"/>
    </w:rPr>
  </w:style>
  <w:style w:type="paragraph" w:styleId="ListParagraph">
    <w:name w:val="List Paragraph"/>
    <w:basedOn w:val="Normal"/>
    <w:uiPriority w:val="34"/>
    <w:qFormat/>
    <w:rsid w:val="00C41205"/>
    <w:pPr>
      <w:ind w:left="720"/>
      <w:contextualSpacing/>
    </w:pPr>
  </w:style>
  <w:style w:type="paragraph" w:styleId="Header">
    <w:name w:val="header"/>
    <w:basedOn w:val="Normal"/>
    <w:link w:val="HeaderChar"/>
    <w:uiPriority w:val="99"/>
    <w:semiHidden/>
    <w:unhideWhenUsed/>
    <w:rsid w:val="00C41205"/>
    <w:pPr>
      <w:tabs>
        <w:tab w:val="center" w:pos="4680"/>
        <w:tab w:val="right" w:pos="9360"/>
      </w:tabs>
    </w:pPr>
  </w:style>
  <w:style w:type="character" w:customStyle="1" w:styleId="HeaderChar">
    <w:name w:val="Header Char"/>
    <w:basedOn w:val="DefaultParagraphFont"/>
    <w:link w:val="Header"/>
    <w:uiPriority w:val="99"/>
    <w:semiHidden/>
    <w:rsid w:val="00C41205"/>
  </w:style>
  <w:style w:type="paragraph" w:styleId="Footer">
    <w:name w:val="footer"/>
    <w:basedOn w:val="Normal"/>
    <w:link w:val="FooterChar"/>
    <w:uiPriority w:val="99"/>
    <w:unhideWhenUsed/>
    <w:rsid w:val="00C41205"/>
    <w:pPr>
      <w:tabs>
        <w:tab w:val="center" w:pos="4680"/>
        <w:tab w:val="right" w:pos="9360"/>
      </w:tabs>
    </w:pPr>
  </w:style>
  <w:style w:type="character" w:customStyle="1" w:styleId="FooterChar">
    <w:name w:val="Footer Char"/>
    <w:basedOn w:val="DefaultParagraphFont"/>
    <w:link w:val="Footer"/>
    <w:uiPriority w:val="99"/>
    <w:rsid w:val="00C41205"/>
  </w:style>
  <w:style w:type="paragraph" w:customStyle="1" w:styleId="Default">
    <w:name w:val="Default"/>
    <w:rsid w:val="007C7254"/>
    <w:pPr>
      <w:widowControl w:val="0"/>
      <w:autoSpaceDE w:val="0"/>
      <w:autoSpaceDN w:val="0"/>
      <w:adjustRightInd w:val="0"/>
    </w:pPr>
    <w:rPr>
      <w:rFonts w:eastAsia="Calibri" w:cs="Times New Roman"/>
      <w:color w:val="000000"/>
      <w:szCs w:val="24"/>
    </w:rPr>
  </w:style>
  <w:style w:type="paragraph" w:customStyle="1" w:styleId="CM21">
    <w:name w:val="CM21"/>
    <w:basedOn w:val="Default"/>
    <w:next w:val="Default"/>
    <w:rsid w:val="007C7254"/>
    <w:pPr>
      <w:spacing w:after="103"/>
    </w:pPr>
    <w:rPr>
      <w:color w:val="auto"/>
    </w:rPr>
  </w:style>
  <w:style w:type="paragraph" w:styleId="FootnoteText">
    <w:name w:val="footnote text"/>
    <w:basedOn w:val="Normal"/>
    <w:link w:val="FootnoteTextChar"/>
    <w:uiPriority w:val="99"/>
    <w:unhideWhenUsed/>
    <w:rsid w:val="00BA11EF"/>
    <w:rPr>
      <w:sz w:val="20"/>
      <w:szCs w:val="20"/>
    </w:rPr>
  </w:style>
  <w:style w:type="character" w:customStyle="1" w:styleId="FootnoteTextChar">
    <w:name w:val="Footnote Text Char"/>
    <w:basedOn w:val="DefaultParagraphFont"/>
    <w:link w:val="FootnoteText"/>
    <w:uiPriority w:val="99"/>
    <w:rsid w:val="00BA11EF"/>
    <w:rPr>
      <w:sz w:val="20"/>
      <w:szCs w:val="20"/>
    </w:rPr>
  </w:style>
  <w:style w:type="character" w:styleId="FootnoteReference">
    <w:name w:val="footnote reference"/>
    <w:basedOn w:val="DefaultParagraphFont"/>
    <w:uiPriority w:val="99"/>
    <w:semiHidden/>
    <w:unhideWhenUsed/>
    <w:rsid w:val="00BA11EF"/>
    <w:rPr>
      <w:vertAlign w:val="superscript"/>
    </w:rPr>
  </w:style>
  <w:style w:type="paragraph" w:customStyle="1" w:styleId="cm210">
    <w:name w:val="cm21"/>
    <w:basedOn w:val="Normal"/>
    <w:rsid w:val="00E50EAF"/>
    <w:pPr>
      <w:spacing w:before="100" w:beforeAutospacing="1" w:after="100" w:afterAutospacing="1"/>
    </w:pPr>
    <w:rPr>
      <w:rFonts w:eastAsia="Calibri" w:cs="Times New Roman"/>
      <w:szCs w:val="24"/>
    </w:rPr>
  </w:style>
  <w:style w:type="character" w:styleId="FollowedHyperlink">
    <w:name w:val="FollowedHyperlink"/>
    <w:basedOn w:val="DefaultParagraphFont"/>
    <w:uiPriority w:val="99"/>
    <w:semiHidden/>
    <w:unhideWhenUsed/>
    <w:rsid w:val="002B189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FB9"/>
    <w:rPr>
      <w:color w:val="0000FF" w:themeColor="hyperlink"/>
      <w:u w:val="single"/>
    </w:rPr>
  </w:style>
  <w:style w:type="paragraph" w:styleId="ListParagraph">
    <w:name w:val="List Paragraph"/>
    <w:basedOn w:val="Normal"/>
    <w:uiPriority w:val="34"/>
    <w:qFormat/>
    <w:rsid w:val="00C41205"/>
    <w:pPr>
      <w:ind w:left="720"/>
      <w:contextualSpacing/>
    </w:pPr>
  </w:style>
  <w:style w:type="paragraph" w:styleId="Header">
    <w:name w:val="header"/>
    <w:basedOn w:val="Normal"/>
    <w:link w:val="HeaderChar"/>
    <w:uiPriority w:val="99"/>
    <w:semiHidden/>
    <w:unhideWhenUsed/>
    <w:rsid w:val="00C41205"/>
    <w:pPr>
      <w:tabs>
        <w:tab w:val="center" w:pos="4680"/>
        <w:tab w:val="right" w:pos="9360"/>
      </w:tabs>
    </w:pPr>
  </w:style>
  <w:style w:type="character" w:customStyle="1" w:styleId="HeaderChar">
    <w:name w:val="Header Char"/>
    <w:basedOn w:val="DefaultParagraphFont"/>
    <w:link w:val="Header"/>
    <w:uiPriority w:val="99"/>
    <w:semiHidden/>
    <w:rsid w:val="00C41205"/>
  </w:style>
  <w:style w:type="paragraph" w:styleId="Footer">
    <w:name w:val="footer"/>
    <w:basedOn w:val="Normal"/>
    <w:link w:val="FooterChar"/>
    <w:uiPriority w:val="99"/>
    <w:unhideWhenUsed/>
    <w:rsid w:val="00C41205"/>
    <w:pPr>
      <w:tabs>
        <w:tab w:val="center" w:pos="4680"/>
        <w:tab w:val="right" w:pos="9360"/>
      </w:tabs>
    </w:pPr>
  </w:style>
  <w:style w:type="character" w:customStyle="1" w:styleId="FooterChar">
    <w:name w:val="Footer Char"/>
    <w:basedOn w:val="DefaultParagraphFont"/>
    <w:link w:val="Footer"/>
    <w:uiPriority w:val="99"/>
    <w:rsid w:val="00C41205"/>
  </w:style>
  <w:style w:type="paragraph" w:customStyle="1" w:styleId="Default">
    <w:name w:val="Default"/>
    <w:rsid w:val="007C7254"/>
    <w:pPr>
      <w:widowControl w:val="0"/>
      <w:autoSpaceDE w:val="0"/>
      <w:autoSpaceDN w:val="0"/>
      <w:adjustRightInd w:val="0"/>
    </w:pPr>
    <w:rPr>
      <w:rFonts w:eastAsia="Calibri" w:cs="Times New Roman"/>
      <w:color w:val="000000"/>
      <w:szCs w:val="24"/>
    </w:rPr>
  </w:style>
  <w:style w:type="paragraph" w:customStyle="1" w:styleId="CM21">
    <w:name w:val="CM21"/>
    <w:basedOn w:val="Default"/>
    <w:next w:val="Default"/>
    <w:rsid w:val="007C7254"/>
    <w:pPr>
      <w:spacing w:after="103"/>
    </w:pPr>
    <w:rPr>
      <w:color w:val="auto"/>
    </w:rPr>
  </w:style>
  <w:style w:type="paragraph" w:styleId="FootnoteText">
    <w:name w:val="footnote text"/>
    <w:basedOn w:val="Normal"/>
    <w:link w:val="FootnoteTextChar"/>
    <w:uiPriority w:val="99"/>
    <w:unhideWhenUsed/>
    <w:rsid w:val="00BA11EF"/>
    <w:rPr>
      <w:sz w:val="20"/>
      <w:szCs w:val="20"/>
    </w:rPr>
  </w:style>
  <w:style w:type="character" w:customStyle="1" w:styleId="FootnoteTextChar">
    <w:name w:val="Footnote Text Char"/>
    <w:basedOn w:val="DefaultParagraphFont"/>
    <w:link w:val="FootnoteText"/>
    <w:uiPriority w:val="99"/>
    <w:rsid w:val="00BA11EF"/>
    <w:rPr>
      <w:sz w:val="20"/>
      <w:szCs w:val="20"/>
    </w:rPr>
  </w:style>
  <w:style w:type="character" w:styleId="FootnoteReference">
    <w:name w:val="footnote reference"/>
    <w:basedOn w:val="DefaultParagraphFont"/>
    <w:uiPriority w:val="99"/>
    <w:semiHidden/>
    <w:unhideWhenUsed/>
    <w:rsid w:val="00BA11EF"/>
    <w:rPr>
      <w:vertAlign w:val="superscript"/>
    </w:rPr>
  </w:style>
  <w:style w:type="paragraph" w:customStyle="1" w:styleId="cm210">
    <w:name w:val="cm21"/>
    <w:basedOn w:val="Normal"/>
    <w:rsid w:val="00E50EAF"/>
    <w:pPr>
      <w:spacing w:before="100" w:beforeAutospacing="1" w:after="100" w:afterAutospacing="1"/>
    </w:pPr>
    <w:rPr>
      <w:rFonts w:eastAsia="Calibri" w:cs="Times New Roman"/>
      <w:szCs w:val="24"/>
    </w:rPr>
  </w:style>
  <w:style w:type="character" w:styleId="FollowedHyperlink">
    <w:name w:val="FollowedHyperlink"/>
    <w:basedOn w:val="DefaultParagraphFont"/>
    <w:uiPriority w:val="99"/>
    <w:semiHidden/>
    <w:unhideWhenUsed/>
    <w:rsid w:val="002B18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30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rkuo@fordham.edu" TargetMode="External"/><Relationship Id="rId20" Type="http://schemas.openxmlformats.org/officeDocument/2006/relationships/hyperlink" Target="http://www.nytimes.com/2010/11/25/opinion/25prosek.html" TargetMode="External"/><Relationship Id="rId21" Type="http://schemas.openxmlformats.org/officeDocument/2006/relationships/hyperlink" Target="http://search.ebscohost.com/login.aspx?direct=true&amp;db=aph&amp;AN=7568988&amp;site=ehost-live" TargetMode="External"/><Relationship Id="rId22" Type="http://schemas.openxmlformats.org/officeDocument/2006/relationships/hyperlink" Target="http://www.foreignaffairs.com/articles/55210/edward-n-luttwak/give-war-a-chance" TargetMode="External"/><Relationship Id="rId23" Type="http://schemas.openxmlformats.org/officeDocument/2006/relationships/hyperlink" Target="http://www.foreignpolicy.com/story/cms.php?story_id=3995" TargetMode="External"/><Relationship Id="rId24" Type="http://schemas.openxmlformats.org/officeDocument/2006/relationships/hyperlink" Target="http://www.nps.edu/Academics/Centers/CTIW/files/The%20New%20Terrorism.pdf" TargetMode="Externa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mailto:rkuo@fordham.edu" TargetMode="External"/><Relationship Id="rId11" Type="http://schemas.openxmlformats.org/officeDocument/2006/relationships/hyperlink" Target="mailto:rkuo@fordham.edu" TargetMode="External"/><Relationship Id="rId12" Type="http://schemas.openxmlformats.org/officeDocument/2006/relationships/hyperlink" Target="http://www.slate.com/id/2173108" TargetMode="External"/><Relationship Id="rId13" Type="http://schemas.openxmlformats.org/officeDocument/2006/relationships/hyperlink" Target="http://nationalinterest.org/greatdebate/yes-3950/" TargetMode="External"/><Relationship Id="rId14" Type="http://schemas.openxmlformats.org/officeDocument/2006/relationships/hyperlink" Target="http://usacac.army.mil/CAC2/MilitaryReview/Archives/English/MilitaryReview_20091231_art004.pdf" TargetMode="External"/><Relationship Id="rId15" Type="http://schemas.openxmlformats.org/officeDocument/2006/relationships/hyperlink" Target="http://articles.latimes.com/2009/nov/12/opinion/oe-goldstein12" TargetMode="External"/><Relationship Id="rId16" Type="http://schemas.openxmlformats.org/officeDocument/2006/relationships/hyperlink" Target="http://www.newsweek.com/id/184376/output/print" TargetMode="External"/><Relationship Id="rId17" Type="http://schemas.openxmlformats.org/officeDocument/2006/relationships/hyperlink" Target="http://www.nytimes.com/2010/08/13/opinion/13fri1.html?ref=opinion" TargetMode="External"/><Relationship Id="rId18" Type="http://schemas.openxmlformats.org/officeDocument/2006/relationships/hyperlink" Target="http://www.whitehouse.gov/the-press-office/remarks-president-address-nation-way-forward-afghanistan-and-pakistan" TargetMode="External"/><Relationship Id="rId19" Type="http://schemas.openxmlformats.org/officeDocument/2006/relationships/hyperlink" Target="http://nationalinterest.org/greatdebate/debating-afghanistan/afghanistan-war-pillar-379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088D5-4CDF-494C-8FFF-B88AB8A0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3633</Words>
  <Characters>20709</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dc:creator>
  <cp:lastModifiedBy>Fordham IT</cp:lastModifiedBy>
  <cp:revision>18</cp:revision>
  <dcterms:created xsi:type="dcterms:W3CDTF">2016-08-01T22:38:00Z</dcterms:created>
  <dcterms:modified xsi:type="dcterms:W3CDTF">2016-08-07T02:01:00Z</dcterms:modified>
</cp:coreProperties>
</file>