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7B" w:rsidRPr="00AB27C9" w:rsidRDefault="003B3F7B" w:rsidP="003B3F7B">
      <w:pPr>
        <w:jc w:val="center"/>
        <w:rPr>
          <w:b/>
        </w:rPr>
      </w:pPr>
      <w:r w:rsidRPr="00AB27C9">
        <w:rPr>
          <w:b/>
        </w:rPr>
        <w:t xml:space="preserve">THE </w:t>
      </w:r>
      <w:r w:rsidR="00D72E20" w:rsidRPr="00AB27C9">
        <w:rPr>
          <w:b/>
        </w:rPr>
        <w:t xml:space="preserve">LAW </w:t>
      </w:r>
      <w:r w:rsidR="00B2031E" w:rsidRPr="00AB27C9">
        <w:rPr>
          <w:b/>
        </w:rPr>
        <w:t xml:space="preserve">AND ETHICS </w:t>
      </w:r>
      <w:r w:rsidR="00D72E20" w:rsidRPr="00AB27C9">
        <w:rPr>
          <w:b/>
        </w:rPr>
        <w:t>OF WAR</w:t>
      </w:r>
    </w:p>
    <w:p w:rsidR="0032764C" w:rsidRDefault="0032764C" w:rsidP="0032764C">
      <w:pPr>
        <w:jc w:val="center"/>
      </w:pPr>
      <w:r w:rsidRPr="00AB27C9">
        <w:t>Spring 2020 Semester</w:t>
      </w:r>
    </w:p>
    <w:p w:rsidR="0032764C" w:rsidRDefault="0032764C" w:rsidP="0032764C">
      <w:pPr>
        <w:jc w:val="center"/>
      </w:pPr>
      <w:r w:rsidRPr="00AB27C9">
        <w:t>Prof. Raymond Kuo</w:t>
      </w:r>
    </w:p>
    <w:p w:rsidR="00D252D0" w:rsidRDefault="00F17907" w:rsidP="0032764C">
      <w:pPr>
        <w:jc w:val="center"/>
      </w:pPr>
      <w:hyperlink r:id="rId8" w:history="1">
        <w:r w:rsidR="00D252D0" w:rsidRPr="0017546C">
          <w:rPr>
            <w:rStyle w:val="Hyperlink"/>
          </w:rPr>
          <w:t>kuo00039@umn.edu</w:t>
        </w:r>
      </w:hyperlink>
    </w:p>
    <w:p w:rsidR="00A72727" w:rsidRDefault="00A72727" w:rsidP="0032764C">
      <w:pPr>
        <w:jc w:val="center"/>
      </w:pPr>
    </w:p>
    <w:p w:rsidR="00D252D0" w:rsidRDefault="00D252D0" w:rsidP="0032764C">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2764C" w:rsidRPr="00AB27C9" w:rsidTr="00461F3F">
        <w:trPr>
          <w:jc w:val="center"/>
        </w:trPr>
        <w:tc>
          <w:tcPr>
            <w:tcW w:w="4788" w:type="dxa"/>
          </w:tcPr>
          <w:p w:rsidR="0032764C" w:rsidRPr="00AB27C9" w:rsidRDefault="00D252D0" w:rsidP="00461F3F">
            <w:r>
              <w:rPr>
                <w:i/>
              </w:rPr>
              <w:t>Class Location</w:t>
            </w:r>
          </w:p>
          <w:p w:rsidR="00D252D0" w:rsidRPr="00D252D0" w:rsidRDefault="00D252D0" w:rsidP="00D252D0">
            <w:r w:rsidRPr="00D252D0">
              <w:t>11:15am – 12:30pm, MW</w:t>
            </w:r>
          </w:p>
          <w:p w:rsidR="0032764C" w:rsidRPr="00AB27C9" w:rsidRDefault="00F17907" w:rsidP="00497155">
            <w:hyperlink r:id="rId9" w:tgtFrame="_blank" w:history="1">
              <w:proofErr w:type="spellStart"/>
              <w:r w:rsidR="00D252D0" w:rsidRPr="00D252D0">
                <w:rPr>
                  <w:rStyle w:val="Hyperlink"/>
                </w:rPr>
                <w:t>Blegen</w:t>
              </w:r>
              <w:proofErr w:type="spellEnd"/>
              <w:r w:rsidR="00D252D0" w:rsidRPr="00D252D0">
                <w:rPr>
                  <w:rStyle w:val="Hyperlink"/>
                </w:rPr>
                <w:t xml:space="preserve"> Hall 425</w:t>
              </w:r>
            </w:hyperlink>
          </w:p>
        </w:tc>
        <w:tc>
          <w:tcPr>
            <w:tcW w:w="4788" w:type="dxa"/>
          </w:tcPr>
          <w:p w:rsidR="0032764C" w:rsidRPr="00AB27C9" w:rsidRDefault="0032764C" w:rsidP="00963807">
            <w:pPr>
              <w:jc w:val="right"/>
            </w:pPr>
            <w:r w:rsidRPr="00AB27C9">
              <w:rPr>
                <w:i/>
              </w:rPr>
              <w:t>Student Hours</w:t>
            </w:r>
          </w:p>
          <w:p w:rsidR="0032764C" w:rsidRPr="00AB27C9" w:rsidRDefault="0032764C" w:rsidP="00963807">
            <w:pPr>
              <w:jc w:val="right"/>
            </w:pPr>
            <w:r w:rsidRPr="00AB27C9">
              <w:t>1282 Social Sciences Building</w:t>
            </w:r>
          </w:p>
          <w:p w:rsidR="0032764C" w:rsidRPr="00AB27C9" w:rsidRDefault="0032764C" w:rsidP="00963807">
            <w:pPr>
              <w:jc w:val="right"/>
            </w:pPr>
            <w:r w:rsidRPr="00AB27C9">
              <w:t>Wednesdays 10-11am</w:t>
            </w:r>
          </w:p>
        </w:tc>
      </w:tr>
    </w:tbl>
    <w:p w:rsidR="0032764C" w:rsidRPr="00AB27C9" w:rsidRDefault="0032764C"/>
    <w:p w:rsidR="0032764C" w:rsidRPr="00AB27C9" w:rsidRDefault="0032764C"/>
    <w:p w:rsidR="008055E0" w:rsidRPr="00AB27C9" w:rsidRDefault="008055E0" w:rsidP="008055E0">
      <w:pPr>
        <w:rPr>
          <w:bCs/>
        </w:rPr>
      </w:pPr>
      <w:r w:rsidRPr="00AB27C9">
        <w:rPr>
          <w:bCs/>
        </w:rPr>
        <w:t>“…[R]</w:t>
      </w:r>
      <w:proofErr w:type="spellStart"/>
      <w:r w:rsidRPr="00AB27C9">
        <w:rPr>
          <w:bCs/>
        </w:rPr>
        <w:t>ight</w:t>
      </w:r>
      <w:proofErr w:type="spellEnd"/>
      <w:r w:rsidRPr="00AB27C9">
        <w:rPr>
          <w:bCs/>
        </w:rPr>
        <w:t>, as the world goes, is only in question between equals in power, while the strong do what they can and the weak suffer what they must.”</w:t>
      </w:r>
    </w:p>
    <w:p w:rsidR="008055E0" w:rsidRPr="00AB27C9" w:rsidRDefault="008055E0" w:rsidP="008055E0">
      <w:pPr>
        <w:rPr>
          <w:bCs/>
        </w:rPr>
      </w:pPr>
    </w:p>
    <w:p w:rsidR="00774B14" w:rsidRPr="00AB27C9" w:rsidRDefault="00774B14" w:rsidP="00774B14">
      <w:r w:rsidRPr="00AB27C9">
        <w:t>“Men who take up arms against each other in a public war do not cease on this account to be moral beings, responsible to one another and to God.”</w:t>
      </w:r>
    </w:p>
    <w:p w:rsidR="00774B14" w:rsidRPr="00AB27C9" w:rsidRDefault="00774B14" w:rsidP="00774B14"/>
    <w:p w:rsidR="008055E0" w:rsidRPr="00AB27C9" w:rsidRDefault="008055E0" w:rsidP="00774B14"/>
    <w:p w:rsidR="00047E89" w:rsidRPr="00AB27C9" w:rsidRDefault="008055E0" w:rsidP="00774B14">
      <w:r w:rsidRPr="00AB27C9">
        <w:t xml:space="preserve">Are there – or should there be – legal and moral constraints over war?  </w:t>
      </w:r>
      <w:r w:rsidR="00973C16" w:rsidRPr="00AB27C9">
        <w:t xml:space="preserve">Where should statesmen, generals, and lawyers draw the line between permissible and impermissible military violence?  Do existing laws have any effect, or do states simply “cheat” on their legal duties?  </w:t>
      </w:r>
      <w:r w:rsidR="0086572B" w:rsidRPr="00AB27C9">
        <w:t>S</w:t>
      </w:r>
      <w:r w:rsidR="00973C16" w:rsidRPr="00AB27C9">
        <w:t>hould the law</w:t>
      </w:r>
      <w:r w:rsidR="0086572B" w:rsidRPr="00AB27C9">
        <w:t>s of war</w:t>
      </w:r>
      <w:r w:rsidR="00973C16" w:rsidRPr="00AB27C9">
        <w:t xml:space="preserve"> be </w:t>
      </w:r>
      <w:r w:rsidR="0086572B" w:rsidRPr="00AB27C9">
        <w:t>loosened to meet new security challenges, such as cyber attack</w:t>
      </w:r>
      <w:r w:rsidR="00047E89" w:rsidRPr="00AB27C9">
        <w:t>, and what do we owe our adversaries after the fighting is over?</w:t>
      </w:r>
    </w:p>
    <w:p w:rsidR="00047E89" w:rsidRPr="00AB27C9" w:rsidRDefault="00047E89" w:rsidP="00774B14"/>
    <w:p w:rsidR="00047E89" w:rsidRPr="00AB27C9" w:rsidRDefault="00047E89" w:rsidP="00774B14">
      <w:r w:rsidRPr="00AB27C9">
        <w:t>This course will survey the laws and ethics of war</w:t>
      </w:r>
      <w:r w:rsidR="00454ECD" w:rsidRPr="00AB27C9">
        <w:t xml:space="preserve">, fraught subjects over which people have been literally fighting for millennia.  </w:t>
      </w:r>
      <w:r w:rsidRPr="00AB27C9">
        <w:t xml:space="preserve">While we cannot cover everything in this vast topic, </w:t>
      </w:r>
      <w:r w:rsidR="00EE5EBB" w:rsidRPr="00AB27C9">
        <w:t>you</w:t>
      </w:r>
      <w:r w:rsidRPr="00AB27C9">
        <w:t xml:space="preserve"> will</w:t>
      </w:r>
      <w:r w:rsidR="00EE5EBB" w:rsidRPr="00AB27C9">
        <w:t xml:space="preserve"> walk away from this course with:</w:t>
      </w:r>
    </w:p>
    <w:p w:rsidR="00EE5EBB" w:rsidRPr="00AB27C9" w:rsidRDefault="00EE5EBB" w:rsidP="00774B14"/>
    <w:p w:rsidR="00EE5EBB" w:rsidRPr="00AB27C9" w:rsidRDefault="00EE5EBB" w:rsidP="00EE5EBB">
      <w:pPr>
        <w:pStyle w:val="ListParagraph"/>
        <w:numPr>
          <w:ilvl w:val="0"/>
          <w:numId w:val="35"/>
        </w:numPr>
      </w:pPr>
      <w:r w:rsidRPr="00AB27C9">
        <w:t xml:space="preserve">A broad understanding of </w:t>
      </w:r>
      <w:r w:rsidR="004F2831" w:rsidRPr="00AB27C9">
        <w:t xml:space="preserve">when and </w:t>
      </w:r>
      <w:r w:rsidRPr="00AB27C9">
        <w:t xml:space="preserve">how effectively law and morality constrain </w:t>
      </w:r>
      <w:r w:rsidR="004F2831" w:rsidRPr="00AB27C9">
        <w:t xml:space="preserve">the decision to go </w:t>
      </w:r>
      <w:r w:rsidRPr="00AB27C9">
        <w:t xml:space="preserve">to war and </w:t>
      </w:r>
      <w:r w:rsidR="004F2831" w:rsidRPr="00AB27C9">
        <w:t>military conduct within it, as well as the history of those laws;</w:t>
      </w:r>
    </w:p>
    <w:p w:rsidR="00AD6ACF" w:rsidRPr="00AB27C9" w:rsidRDefault="00AD6ACF" w:rsidP="00AD6ACF">
      <w:pPr>
        <w:pStyle w:val="ListParagraph"/>
      </w:pPr>
    </w:p>
    <w:p w:rsidR="00EE5EBB" w:rsidRPr="00AB27C9" w:rsidRDefault="00710310" w:rsidP="00EE5EBB">
      <w:pPr>
        <w:pStyle w:val="ListParagraph"/>
        <w:numPr>
          <w:ilvl w:val="0"/>
          <w:numId w:val="35"/>
        </w:numPr>
      </w:pPr>
      <w:r w:rsidRPr="00AB27C9">
        <w:t xml:space="preserve">Opportunities to </w:t>
      </w:r>
      <w:r w:rsidR="00EE5EBB" w:rsidRPr="00AB27C9">
        <w:t xml:space="preserve">systematically apply legal and moral principles to contemporary challenges, like </w:t>
      </w:r>
      <w:r w:rsidRPr="00AB27C9">
        <w:t xml:space="preserve">the War in Iraq and the targeted killing of Iranian Maj. Gen. </w:t>
      </w:r>
      <w:proofErr w:type="spellStart"/>
      <w:r w:rsidRPr="00AB27C9">
        <w:t>Qassim</w:t>
      </w:r>
      <w:proofErr w:type="spellEnd"/>
      <w:r w:rsidRPr="00AB27C9">
        <w:t xml:space="preserve"> </w:t>
      </w:r>
      <w:proofErr w:type="spellStart"/>
      <w:r w:rsidRPr="00AB27C9">
        <w:t>Suleimani</w:t>
      </w:r>
      <w:proofErr w:type="spellEnd"/>
      <w:r w:rsidRPr="00AB27C9">
        <w:t>; and</w:t>
      </w:r>
    </w:p>
    <w:p w:rsidR="00AD6ACF" w:rsidRPr="00AB27C9" w:rsidRDefault="00AD6ACF" w:rsidP="00AD6ACF">
      <w:pPr>
        <w:pStyle w:val="ListParagraph"/>
      </w:pPr>
    </w:p>
    <w:p w:rsidR="00710310" w:rsidRPr="00AB27C9" w:rsidRDefault="00454ECD" w:rsidP="00EE5EBB">
      <w:pPr>
        <w:pStyle w:val="ListParagraph"/>
        <w:numPr>
          <w:ilvl w:val="0"/>
          <w:numId w:val="35"/>
        </w:numPr>
      </w:pPr>
      <w:r w:rsidRPr="00AB27C9">
        <w:t>Opportunities to improve professional skills relevant to your future careers, including public speaking, presentation, and peer review.</w:t>
      </w:r>
    </w:p>
    <w:p w:rsidR="00973C16" w:rsidRPr="00AB27C9" w:rsidRDefault="00973C16" w:rsidP="00774B14"/>
    <w:p w:rsidR="00596580" w:rsidRPr="00AB27C9" w:rsidRDefault="00596580" w:rsidP="00774B14"/>
    <w:p w:rsidR="00EE1D13" w:rsidRPr="00AB27C9" w:rsidRDefault="00362357">
      <w:r w:rsidRPr="00AB27C9">
        <w:rPr>
          <w:u w:val="single"/>
        </w:rPr>
        <w:t>Class Guidelines</w:t>
      </w:r>
    </w:p>
    <w:p w:rsidR="00362357" w:rsidRPr="00AB27C9" w:rsidRDefault="00362357">
      <w:r w:rsidRPr="00AB27C9">
        <w:t xml:space="preserve">We’ll collectively decide on rules of conduct in the first class.  These will include respect for </w:t>
      </w:r>
      <w:r w:rsidR="006C30E4" w:rsidRPr="00AB27C9">
        <w:t xml:space="preserve">oneself and </w:t>
      </w:r>
      <w:r w:rsidRPr="00AB27C9">
        <w:t xml:space="preserve">others, laptop policy, </w:t>
      </w:r>
      <w:r w:rsidR="006C30E4" w:rsidRPr="00AB27C9">
        <w:t>class absences, and how to engage with political science readings.</w:t>
      </w:r>
    </w:p>
    <w:p w:rsidR="000B7141" w:rsidRPr="00AB27C9" w:rsidRDefault="000B7141"/>
    <w:p w:rsidR="00AE1695" w:rsidRPr="00AB27C9" w:rsidRDefault="00AE1695"/>
    <w:p w:rsidR="00AE1695" w:rsidRPr="00AB27C9" w:rsidRDefault="00AE1695">
      <w:pPr>
        <w:rPr>
          <w:u w:val="single"/>
        </w:rPr>
      </w:pPr>
      <w:r w:rsidRPr="00AB27C9">
        <w:rPr>
          <w:u w:val="single"/>
        </w:rPr>
        <w:t>Grade Composition</w:t>
      </w:r>
    </w:p>
    <w:p w:rsidR="00AE1695" w:rsidRPr="00AB27C9" w:rsidRDefault="00406295">
      <w:r w:rsidRPr="00AB27C9">
        <w:lastRenderedPageBreak/>
        <w:tab/>
        <w:t>Class Participation</w:t>
      </w:r>
      <w:r w:rsidRPr="00AB27C9">
        <w:tab/>
      </w:r>
      <w:r w:rsidRPr="00AB27C9">
        <w:tab/>
      </w:r>
      <w:r w:rsidR="002D5FD6" w:rsidRPr="00AB27C9">
        <w:tab/>
      </w:r>
      <w:r w:rsidRPr="00AB27C9">
        <w:t>20%</w:t>
      </w:r>
    </w:p>
    <w:p w:rsidR="006C30E4" w:rsidRPr="00AB27C9" w:rsidRDefault="006C30E4" w:rsidP="006C30E4">
      <w:r w:rsidRPr="00AB27C9">
        <w:tab/>
      </w:r>
      <w:r w:rsidR="00CD19D4" w:rsidRPr="00AB27C9">
        <w:t>Presentation/</w:t>
      </w:r>
      <w:r w:rsidR="004F2831" w:rsidRPr="00AB27C9">
        <w:t>Debate</w:t>
      </w:r>
      <w:r w:rsidR="002D5FD6" w:rsidRPr="00AB27C9">
        <w:tab/>
      </w:r>
      <w:r w:rsidRPr="00AB27C9">
        <w:tab/>
      </w:r>
      <w:r w:rsidRPr="00AB27C9">
        <w:tab/>
      </w:r>
      <w:r w:rsidR="004F2831" w:rsidRPr="00AB27C9">
        <w:t>10</w:t>
      </w:r>
      <w:r w:rsidRPr="00AB27C9">
        <w:t>%</w:t>
      </w:r>
    </w:p>
    <w:p w:rsidR="002D5FD6" w:rsidRPr="00AB27C9" w:rsidRDefault="005550EE">
      <w:r w:rsidRPr="00AB27C9">
        <w:tab/>
      </w:r>
      <w:r w:rsidR="002D5FD6" w:rsidRPr="00AB27C9">
        <w:t>National Security Decision Memo</w:t>
      </w:r>
      <w:r w:rsidR="002D5FD6" w:rsidRPr="00AB27C9">
        <w:tab/>
        <w:t>2</w:t>
      </w:r>
      <w:r w:rsidR="00C377E8" w:rsidRPr="00AB27C9">
        <w:t>5</w:t>
      </w:r>
      <w:r w:rsidR="002D5FD6" w:rsidRPr="00AB27C9">
        <w:t>%</w:t>
      </w:r>
    </w:p>
    <w:p w:rsidR="00406295" w:rsidRPr="00AB27C9" w:rsidRDefault="005550EE" w:rsidP="002D5FD6">
      <w:pPr>
        <w:ind w:firstLine="720"/>
      </w:pPr>
      <w:r w:rsidRPr="00AB27C9">
        <w:t>Policy Memo</w:t>
      </w:r>
      <w:r w:rsidRPr="00AB27C9">
        <w:tab/>
      </w:r>
      <w:r w:rsidRPr="00AB27C9">
        <w:tab/>
      </w:r>
      <w:r w:rsidRPr="00AB27C9">
        <w:tab/>
      </w:r>
      <w:r w:rsidR="002D5FD6" w:rsidRPr="00AB27C9">
        <w:tab/>
      </w:r>
      <w:r w:rsidRPr="00AB27C9">
        <w:t>2</w:t>
      </w:r>
      <w:r w:rsidR="00C377E8" w:rsidRPr="00AB27C9">
        <w:t>5</w:t>
      </w:r>
      <w:r w:rsidR="00406295" w:rsidRPr="00AB27C9">
        <w:t>%</w:t>
      </w:r>
    </w:p>
    <w:p w:rsidR="00406295" w:rsidRPr="00AB27C9" w:rsidRDefault="00406295">
      <w:r w:rsidRPr="00AB27C9">
        <w:tab/>
      </w:r>
      <w:r w:rsidR="00CD19D4" w:rsidRPr="00AB27C9">
        <w:t>Peer Review</w:t>
      </w:r>
      <w:r w:rsidR="00CD19D4" w:rsidRPr="00AB27C9">
        <w:tab/>
      </w:r>
      <w:r w:rsidR="00CD19D4" w:rsidRPr="00AB27C9">
        <w:tab/>
      </w:r>
      <w:r w:rsidR="00CD19D4" w:rsidRPr="00AB27C9">
        <w:tab/>
      </w:r>
      <w:r w:rsidR="002D5FD6" w:rsidRPr="00AB27C9">
        <w:tab/>
      </w:r>
      <w:r w:rsidR="00CD19D4" w:rsidRPr="00AB27C9">
        <w:t>20</w:t>
      </w:r>
      <w:r w:rsidR="00077168" w:rsidRPr="00AB27C9">
        <w:t>%</w:t>
      </w:r>
    </w:p>
    <w:p w:rsidR="00AE1695" w:rsidRPr="00AB27C9" w:rsidRDefault="00AE1695"/>
    <w:p w:rsidR="00444012" w:rsidRPr="00AB27C9" w:rsidRDefault="00444012" w:rsidP="00444012"/>
    <w:p w:rsidR="00444012" w:rsidRPr="00AB27C9" w:rsidRDefault="00444012" w:rsidP="00444012">
      <w:r w:rsidRPr="00AB27C9">
        <w:rPr>
          <w:i/>
        </w:rPr>
        <w:t>Participation</w:t>
      </w:r>
    </w:p>
    <w:p w:rsidR="00444012" w:rsidRPr="00AB27C9" w:rsidRDefault="00902A52" w:rsidP="00444012">
      <w:r w:rsidRPr="00AB27C9">
        <w:t xml:space="preserve">Class participation is a critical </w:t>
      </w:r>
      <w:r w:rsidRPr="00AB27C9">
        <w:rPr>
          <w:i/>
        </w:rPr>
        <w:t>professional</w:t>
      </w:r>
      <w:r w:rsidRPr="00AB27C9">
        <w:t xml:space="preserve"> skill</w:t>
      </w:r>
      <w:r w:rsidR="00DC1588" w:rsidRPr="00AB27C9">
        <w:t xml:space="preserve">.  </w:t>
      </w:r>
      <w:r w:rsidR="00BE7CB7" w:rsidRPr="00AB27C9">
        <w:t>The ability to synthesize information quickly</w:t>
      </w:r>
      <w:r w:rsidR="006C30E4" w:rsidRPr="00AB27C9">
        <w:t>;</w:t>
      </w:r>
      <w:r w:rsidR="00BE7CB7" w:rsidRPr="00AB27C9">
        <w:t xml:space="preserve"> make incisive contributions</w:t>
      </w:r>
      <w:r w:rsidR="006C30E4" w:rsidRPr="00AB27C9">
        <w:t>;</w:t>
      </w:r>
      <w:r w:rsidR="00BE7CB7" w:rsidRPr="00AB27C9">
        <w:t xml:space="preserve"> constructively critique others’ arguments</w:t>
      </w:r>
      <w:r w:rsidR="006C30E4" w:rsidRPr="00AB27C9">
        <w:t>;</w:t>
      </w:r>
      <w:r w:rsidR="00BE7CB7" w:rsidRPr="00AB27C9">
        <w:t xml:space="preserve"> and </w:t>
      </w:r>
      <w:r w:rsidR="006C30E4" w:rsidRPr="00AB27C9">
        <w:t>foster a common, productive conversation will be essential in any future career.</w:t>
      </w:r>
    </w:p>
    <w:p w:rsidR="006C30E4" w:rsidRPr="00AB27C9" w:rsidRDefault="006C30E4" w:rsidP="00444012"/>
    <w:p w:rsidR="00852F92" w:rsidRPr="00AB27C9" w:rsidRDefault="006C30E4" w:rsidP="00444012">
      <w:r w:rsidRPr="00AB27C9">
        <w:t>Students also learn as much from each other as they do from their professors.  My job is to facilitate the conversation so this learning can happen, posing challenging questions that incite further discussion.  Your job is to come to class prepared, having reviewed the readings critically and posed questions of them.</w:t>
      </w:r>
    </w:p>
    <w:p w:rsidR="006C30E4" w:rsidRPr="00AB27C9" w:rsidRDefault="00852F92" w:rsidP="00444012">
      <w:r w:rsidRPr="00AB27C9">
        <w:t xml:space="preserve"> </w:t>
      </w:r>
    </w:p>
    <w:p w:rsidR="006C30E4" w:rsidRPr="00AB27C9" w:rsidRDefault="006C30E4" w:rsidP="00444012"/>
    <w:p w:rsidR="006C30E4" w:rsidRPr="00AB27C9" w:rsidRDefault="006C30E4" w:rsidP="00444012">
      <w:pPr>
        <w:rPr>
          <w:i/>
        </w:rPr>
      </w:pPr>
      <w:r w:rsidRPr="00AB27C9">
        <w:rPr>
          <w:i/>
        </w:rPr>
        <w:t>Presentation</w:t>
      </w:r>
      <w:r w:rsidR="00CD19D4" w:rsidRPr="00AB27C9">
        <w:rPr>
          <w:i/>
        </w:rPr>
        <w:t>/Debate</w:t>
      </w:r>
    </w:p>
    <w:p w:rsidR="004C113D" w:rsidRPr="00AB27C9" w:rsidRDefault="006C30E4" w:rsidP="00444012">
      <w:r w:rsidRPr="00AB27C9">
        <w:t xml:space="preserve">Complementing the participation component above, each student will be responsible for </w:t>
      </w:r>
      <w:r w:rsidR="00F219A8" w:rsidRPr="00AB27C9">
        <w:t xml:space="preserve">leading </w:t>
      </w:r>
      <w:r w:rsidR="004C113D" w:rsidRPr="00AB27C9">
        <w:t xml:space="preserve">a 7 min. </w:t>
      </w:r>
      <w:r w:rsidR="00F219A8" w:rsidRPr="00AB27C9">
        <w:t xml:space="preserve">discussion in one of our classes.  </w:t>
      </w:r>
      <w:r w:rsidR="004C113D" w:rsidRPr="00AB27C9">
        <w:t xml:space="preserve">Once </w:t>
      </w:r>
      <w:proofErr w:type="gramStart"/>
      <w:r w:rsidR="004C113D" w:rsidRPr="00AB27C9">
        <w:t>the add</w:t>
      </w:r>
      <w:proofErr w:type="gramEnd"/>
      <w:r w:rsidR="004C113D" w:rsidRPr="00AB27C9">
        <w:t>/drop period ends, I will post a sign-up sheet where you can select the class/topic you present on.</w:t>
      </w:r>
      <w:r w:rsidR="00CD19D4" w:rsidRPr="00AB27C9">
        <w:t xml:space="preserve">  </w:t>
      </w:r>
      <w:proofErr w:type="gramStart"/>
      <w:r w:rsidR="00CD19D4" w:rsidRPr="00AB27C9">
        <w:t>If a class has two students signed up, we’ll have a debate between those students on a major question from the reading instead.</w:t>
      </w:r>
      <w:proofErr w:type="gramEnd"/>
    </w:p>
    <w:p w:rsidR="004C113D" w:rsidRPr="00AB27C9" w:rsidRDefault="004C113D" w:rsidP="00444012"/>
    <w:p w:rsidR="004C113D" w:rsidRPr="00AB27C9" w:rsidRDefault="004C113D" w:rsidP="00444012">
      <w:r w:rsidRPr="00AB27C9">
        <w:t xml:space="preserve">Don’t </w:t>
      </w:r>
      <w:proofErr w:type="gramStart"/>
      <w:r w:rsidRPr="00AB27C9">
        <w:t>worry,</w:t>
      </w:r>
      <w:proofErr w:type="gramEnd"/>
      <w:r w:rsidRPr="00AB27C9">
        <w:t xml:space="preserve"> this isn’t as scary as it sounds.  Early in the semester, pay careful attention to how I guide the conversation.  What questions do I pose?  How did I pull those questions out of the readings?</w:t>
      </w:r>
      <w:r w:rsidR="00456F3D" w:rsidRPr="00AB27C9">
        <w:t xml:space="preserve"> </w:t>
      </w:r>
    </w:p>
    <w:p w:rsidR="004C113D" w:rsidRPr="00AB27C9" w:rsidRDefault="004C113D" w:rsidP="00444012"/>
    <w:p w:rsidR="006C30E4" w:rsidRPr="00AB27C9" w:rsidRDefault="004C113D" w:rsidP="004C113D">
      <w:r w:rsidRPr="00AB27C9">
        <w:t xml:space="preserve">Your job is to do the same thing.  Read the readings to </w:t>
      </w:r>
      <w:r w:rsidR="00E53BBE" w:rsidRPr="00AB27C9">
        <w:t xml:space="preserve">draw </w:t>
      </w:r>
      <w:r w:rsidRPr="00AB27C9">
        <w:t xml:space="preserve">out the major questions.  Don’t </w:t>
      </w:r>
      <w:r w:rsidR="00E53BBE" w:rsidRPr="00AB27C9">
        <w:t xml:space="preserve">provide </w:t>
      </w:r>
      <w:r w:rsidRPr="00AB27C9">
        <w:t>a recap of what they say</w:t>
      </w:r>
      <w:r w:rsidR="00E53BBE" w:rsidRPr="00AB27C9">
        <w:t xml:space="preserve"> – assume that all your classmates have already done the reading.  Instead,</w:t>
      </w:r>
      <w:r w:rsidRPr="00AB27C9">
        <w:t xml:space="preserve"> engage with the argument they make.  </w:t>
      </w:r>
      <w:r w:rsidR="00D024E8" w:rsidRPr="00AB27C9">
        <w:t>What are its limitations and weaknesses?  Where does the argument apply, and why do you find it convincing (or not)?  W</w:t>
      </w:r>
      <w:r w:rsidRPr="00AB27C9">
        <w:t>hat real-world examples lead you to that conclusion?  What would falsify the argument?</w:t>
      </w:r>
    </w:p>
    <w:p w:rsidR="00444012" w:rsidRPr="00AB27C9" w:rsidRDefault="00444012" w:rsidP="00444012"/>
    <w:p w:rsidR="00444012" w:rsidRPr="00AB27C9" w:rsidRDefault="00444012" w:rsidP="00444012"/>
    <w:p w:rsidR="00444012" w:rsidRPr="00AB27C9" w:rsidRDefault="00FD09F5" w:rsidP="00444012">
      <w:pPr>
        <w:tabs>
          <w:tab w:val="right" w:pos="9360"/>
        </w:tabs>
        <w:rPr>
          <w:i/>
        </w:rPr>
      </w:pPr>
      <w:r w:rsidRPr="00AB27C9">
        <w:rPr>
          <w:i/>
        </w:rPr>
        <w:t>National Security Decision Memo</w:t>
      </w:r>
    </w:p>
    <w:p w:rsidR="00444012" w:rsidRPr="00AB27C9" w:rsidRDefault="00444012" w:rsidP="00444012">
      <w:pPr>
        <w:pStyle w:val="ListParagraph"/>
        <w:numPr>
          <w:ilvl w:val="0"/>
          <w:numId w:val="28"/>
        </w:numPr>
        <w:ind w:left="720"/>
      </w:pPr>
      <w:r w:rsidRPr="00AB27C9">
        <w:t>Due</w:t>
      </w:r>
      <w:r w:rsidR="002C64DE" w:rsidRPr="00AB27C9">
        <w:t>:</w:t>
      </w:r>
      <w:r w:rsidR="002C64DE" w:rsidRPr="00AB27C9">
        <w:tab/>
      </w:r>
      <w:r w:rsidR="002C64DE" w:rsidRPr="00AB27C9">
        <w:tab/>
      </w:r>
      <w:r w:rsidR="000E6BBB" w:rsidRPr="00AB27C9">
        <w:t xml:space="preserve">Feb. </w:t>
      </w:r>
      <w:r w:rsidR="00A7775C">
        <w:t>17</w:t>
      </w:r>
      <w:r w:rsidR="000E6BBB" w:rsidRPr="00AB27C9">
        <w:t xml:space="preserve"> at 5 pm</w:t>
      </w:r>
    </w:p>
    <w:p w:rsidR="00444012" w:rsidRPr="00AB27C9" w:rsidRDefault="000E2BE5" w:rsidP="00444012">
      <w:pPr>
        <w:pStyle w:val="ListParagraph"/>
        <w:numPr>
          <w:ilvl w:val="0"/>
          <w:numId w:val="28"/>
        </w:numPr>
        <w:ind w:left="720"/>
        <w:rPr>
          <w:b/>
          <w:u w:val="single"/>
        </w:rPr>
      </w:pPr>
      <w:r>
        <w:t xml:space="preserve">Word </w:t>
      </w:r>
      <w:r w:rsidR="00423588" w:rsidRPr="00AB27C9">
        <w:t>Limit</w:t>
      </w:r>
      <w:r w:rsidR="00444012" w:rsidRPr="00AB27C9">
        <w:t xml:space="preserve">:  </w:t>
      </w:r>
      <w:r w:rsidR="002C64DE" w:rsidRPr="00AB27C9">
        <w:tab/>
      </w:r>
      <w:r w:rsidR="0013371A">
        <w:t>850 words</w:t>
      </w:r>
    </w:p>
    <w:p w:rsidR="00444012" w:rsidRPr="00AB27C9" w:rsidRDefault="00444012" w:rsidP="00444012"/>
    <w:p w:rsidR="00444012" w:rsidRPr="00AB27C9" w:rsidRDefault="00444012" w:rsidP="00444012">
      <w:r w:rsidRPr="00AB27C9">
        <w:t xml:space="preserve">For this project, you will take on the role of the </w:t>
      </w:r>
      <w:hyperlink r:id="rId10" w:history="1">
        <w:r w:rsidRPr="00AB27C9">
          <w:rPr>
            <w:rStyle w:val="Hyperlink"/>
          </w:rPr>
          <w:t>National Security Advisor</w:t>
        </w:r>
      </w:hyperlink>
      <w:r w:rsidRPr="00AB27C9">
        <w:t xml:space="preserve"> (or equivalent position) for one of the countries below.  Write a </w:t>
      </w:r>
      <w:r w:rsidR="00FD09F5" w:rsidRPr="00AB27C9">
        <w:t>National Security Decision Memo</w:t>
      </w:r>
      <w:r w:rsidR="00FD09F5" w:rsidRPr="00AB27C9">
        <w:rPr>
          <w:i/>
        </w:rPr>
        <w:t xml:space="preserve"> </w:t>
      </w:r>
      <w:r w:rsidRPr="00AB27C9">
        <w:t>to your Principal (i.e. the head of government) arguing whether or not your country has a legal and moral case for going to war against the listed target for the stated mission.</w:t>
      </w:r>
    </w:p>
    <w:p w:rsidR="00444012" w:rsidRPr="00AB27C9" w:rsidRDefault="00444012" w:rsidP="00444012"/>
    <w:p w:rsidR="00444012" w:rsidRPr="00AB27C9" w:rsidRDefault="00444012" w:rsidP="00444012">
      <w:r w:rsidRPr="00AB27C9">
        <w:t xml:space="preserve">Be sure to first </w:t>
      </w:r>
      <w:r w:rsidR="003B1422" w:rsidRPr="00AB27C9">
        <w:t>assert</w:t>
      </w:r>
      <w:r w:rsidRPr="00AB27C9">
        <w:t xml:space="preserve"> the scope of your military operations.  In many of the cases below, your country will not have an interest </w:t>
      </w:r>
      <w:proofErr w:type="gramStart"/>
      <w:r w:rsidRPr="00AB27C9">
        <w:t>nor</w:t>
      </w:r>
      <w:proofErr w:type="gramEnd"/>
      <w:r w:rsidRPr="00AB27C9">
        <w:t xml:space="preserve"> the ability to force the target into unconditional surrender.  </w:t>
      </w:r>
      <w:r w:rsidRPr="00AB27C9">
        <w:lastRenderedPageBreak/>
        <w:t xml:space="preserve">But your Principal will definitely make a formal declaration of war prior to any military operation.  Given whatever limit you set, is </w:t>
      </w:r>
      <w:r w:rsidR="00E257FA" w:rsidRPr="00AB27C9">
        <w:t xml:space="preserve">going to war and undertaking that mission </w:t>
      </w:r>
      <w:r w:rsidRPr="00AB27C9">
        <w:t>legally or morally justified?</w:t>
      </w:r>
    </w:p>
    <w:p w:rsidR="00444012" w:rsidRPr="00AB27C9" w:rsidRDefault="00444012" w:rsidP="00444012"/>
    <w:tbl>
      <w:tblPr>
        <w:tblStyle w:val="TableGrid"/>
        <w:tblW w:w="0" w:type="auto"/>
        <w:tblLook w:val="04A0"/>
      </w:tblPr>
      <w:tblGrid>
        <w:gridCol w:w="2628"/>
        <w:gridCol w:w="2250"/>
        <w:gridCol w:w="4698"/>
      </w:tblGrid>
      <w:tr w:rsidR="00444012" w:rsidRPr="00AB27C9" w:rsidTr="00454ECD">
        <w:tc>
          <w:tcPr>
            <w:tcW w:w="2628" w:type="dxa"/>
          </w:tcPr>
          <w:p w:rsidR="00444012" w:rsidRPr="00AB27C9" w:rsidRDefault="00444012" w:rsidP="00454ECD">
            <w:pPr>
              <w:jc w:val="center"/>
              <w:rPr>
                <w:b/>
                <w:u w:val="single"/>
              </w:rPr>
            </w:pPr>
            <w:r w:rsidRPr="00AB27C9">
              <w:rPr>
                <w:b/>
                <w:u w:val="single"/>
              </w:rPr>
              <w:t>Your Country</w:t>
            </w:r>
          </w:p>
        </w:tc>
        <w:tc>
          <w:tcPr>
            <w:tcW w:w="2250" w:type="dxa"/>
          </w:tcPr>
          <w:p w:rsidR="00444012" w:rsidRPr="00AB27C9" w:rsidRDefault="00444012" w:rsidP="00454ECD">
            <w:pPr>
              <w:jc w:val="center"/>
              <w:rPr>
                <w:b/>
                <w:u w:val="single"/>
              </w:rPr>
            </w:pPr>
            <w:r w:rsidRPr="00AB27C9">
              <w:rPr>
                <w:b/>
                <w:u w:val="single"/>
              </w:rPr>
              <w:t>Target</w:t>
            </w:r>
          </w:p>
        </w:tc>
        <w:tc>
          <w:tcPr>
            <w:tcW w:w="4698" w:type="dxa"/>
          </w:tcPr>
          <w:p w:rsidR="00444012" w:rsidRPr="00AB27C9" w:rsidRDefault="00444012" w:rsidP="00454ECD">
            <w:pPr>
              <w:jc w:val="center"/>
              <w:rPr>
                <w:b/>
                <w:u w:val="single"/>
              </w:rPr>
            </w:pPr>
            <w:r w:rsidRPr="00AB27C9">
              <w:rPr>
                <w:b/>
                <w:u w:val="single"/>
              </w:rPr>
              <w:t>Mission</w:t>
            </w:r>
          </w:p>
        </w:tc>
      </w:tr>
      <w:tr w:rsidR="00444012" w:rsidRPr="00AB27C9" w:rsidTr="00454ECD">
        <w:tc>
          <w:tcPr>
            <w:tcW w:w="2628" w:type="dxa"/>
          </w:tcPr>
          <w:p w:rsidR="00444012" w:rsidRPr="00AB27C9" w:rsidRDefault="00444012" w:rsidP="00454ECD">
            <w:pPr>
              <w:jc w:val="center"/>
            </w:pPr>
            <w:r w:rsidRPr="00AB27C9">
              <w:t>Russia</w:t>
            </w:r>
          </w:p>
        </w:tc>
        <w:tc>
          <w:tcPr>
            <w:tcW w:w="2250" w:type="dxa"/>
          </w:tcPr>
          <w:p w:rsidR="00444012" w:rsidRPr="00AB27C9" w:rsidRDefault="00444012" w:rsidP="00454ECD">
            <w:pPr>
              <w:jc w:val="center"/>
            </w:pPr>
            <w:r w:rsidRPr="00AB27C9">
              <w:t>Syria</w:t>
            </w:r>
          </w:p>
        </w:tc>
        <w:tc>
          <w:tcPr>
            <w:tcW w:w="4698" w:type="dxa"/>
          </w:tcPr>
          <w:p w:rsidR="00444012" w:rsidRPr="00AB27C9" w:rsidRDefault="00444012" w:rsidP="00F67057">
            <w:r w:rsidRPr="00AB27C9">
              <w:t xml:space="preserve">Support Assad government </w:t>
            </w:r>
            <w:r w:rsidR="00C157A1">
              <w:t xml:space="preserve">by eliminating </w:t>
            </w:r>
            <w:r w:rsidRPr="00AB27C9">
              <w:t>rebels and</w:t>
            </w:r>
            <w:r w:rsidR="00F67057">
              <w:t xml:space="preserve"> </w:t>
            </w:r>
            <w:r w:rsidRPr="00AB27C9">
              <w:t>ISIS.</w:t>
            </w:r>
          </w:p>
        </w:tc>
      </w:tr>
      <w:tr w:rsidR="00444012" w:rsidRPr="00AB27C9" w:rsidTr="00454ECD">
        <w:tc>
          <w:tcPr>
            <w:tcW w:w="2628" w:type="dxa"/>
          </w:tcPr>
          <w:p w:rsidR="00444012" w:rsidRPr="00AB27C9" w:rsidRDefault="00444012" w:rsidP="00454ECD">
            <w:pPr>
              <w:jc w:val="center"/>
            </w:pPr>
            <w:r w:rsidRPr="00AB27C9">
              <w:t>China</w:t>
            </w:r>
          </w:p>
        </w:tc>
        <w:tc>
          <w:tcPr>
            <w:tcW w:w="2250" w:type="dxa"/>
          </w:tcPr>
          <w:p w:rsidR="00444012" w:rsidRPr="00AB27C9" w:rsidRDefault="00444012" w:rsidP="00454ECD">
            <w:pPr>
              <w:jc w:val="center"/>
            </w:pPr>
            <w:r w:rsidRPr="00AB27C9">
              <w:t>Taiwan</w:t>
            </w:r>
          </w:p>
        </w:tc>
        <w:tc>
          <w:tcPr>
            <w:tcW w:w="4698" w:type="dxa"/>
          </w:tcPr>
          <w:p w:rsidR="00444012" w:rsidRPr="00AB27C9" w:rsidRDefault="00444012" w:rsidP="00454ECD">
            <w:r w:rsidRPr="00AB27C9">
              <w:t>Reunify country.</w:t>
            </w:r>
          </w:p>
        </w:tc>
      </w:tr>
      <w:tr w:rsidR="00444012" w:rsidRPr="00AB27C9" w:rsidTr="00454ECD">
        <w:tc>
          <w:tcPr>
            <w:tcW w:w="2628" w:type="dxa"/>
          </w:tcPr>
          <w:p w:rsidR="00444012" w:rsidRPr="00AB27C9" w:rsidRDefault="00444012" w:rsidP="00454ECD">
            <w:pPr>
              <w:jc w:val="center"/>
            </w:pPr>
            <w:r w:rsidRPr="00AB27C9">
              <w:t>India</w:t>
            </w:r>
          </w:p>
        </w:tc>
        <w:tc>
          <w:tcPr>
            <w:tcW w:w="2250" w:type="dxa"/>
          </w:tcPr>
          <w:p w:rsidR="00444012" w:rsidRPr="00AB27C9" w:rsidRDefault="00444012" w:rsidP="00454ECD">
            <w:pPr>
              <w:jc w:val="center"/>
            </w:pPr>
            <w:r w:rsidRPr="00AB27C9">
              <w:t>Pakistan</w:t>
            </w:r>
          </w:p>
        </w:tc>
        <w:tc>
          <w:tcPr>
            <w:tcW w:w="4698" w:type="dxa"/>
          </w:tcPr>
          <w:p w:rsidR="00444012" w:rsidRPr="00AB27C9" w:rsidRDefault="00444012" w:rsidP="00454ECD">
            <w:r w:rsidRPr="00AB27C9">
              <w:t>Eliminate terrorist incursions from Pakistani territory into Jammu and Kashmir.</w:t>
            </w:r>
          </w:p>
        </w:tc>
      </w:tr>
      <w:tr w:rsidR="00444012" w:rsidRPr="00AB27C9" w:rsidTr="00454ECD">
        <w:tc>
          <w:tcPr>
            <w:tcW w:w="2628" w:type="dxa"/>
          </w:tcPr>
          <w:p w:rsidR="00444012" w:rsidRPr="00AB27C9" w:rsidRDefault="00444012" w:rsidP="00454ECD">
            <w:pPr>
              <w:jc w:val="center"/>
            </w:pPr>
            <w:r w:rsidRPr="00AB27C9">
              <w:t>Vietnam</w:t>
            </w:r>
          </w:p>
        </w:tc>
        <w:tc>
          <w:tcPr>
            <w:tcW w:w="2250" w:type="dxa"/>
          </w:tcPr>
          <w:p w:rsidR="00444012" w:rsidRPr="00AB27C9" w:rsidRDefault="00444012" w:rsidP="00454ECD">
            <w:pPr>
              <w:jc w:val="center"/>
            </w:pPr>
            <w:r w:rsidRPr="00AB27C9">
              <w:t>China</w:t>
            </w:r>
          </w:p>
        </w:tc>
        <w:tc>
          <w:tcPr>
            <w:tcW w:w="4698" w:type="dxa"/>
          </w:tcPr>
          <w:p w:rsidR="00444012" w:rsidRPr="00AB27C9" w:rsidRDefault="00444012" w:rsidP="00454ECD">
            <w:r w:rsidRPr="00AB27C9">
              <w:t xml:space="preserve">Protect sovereignty rights over </w:t>
            </w:r>
            <w:proofErr w:type="spellStart"/>
            <w:r w:rsidRPr="00AB27C9">
              <w:t>Spatly</w:t>
            </w:r>
            <w:proofErr w:type="spellEnd"/>
            <w:r w:rsidRPr="00AB27C9">
              <w:t xml:space="preserve"> Islands and Exclusive Economic Zone.</w:t>
            </w:r>
          </w:p>
        </w:tc>
      </w:tr>
      <w:tr w:rsidR="00444012" w:rsidRPr="00AB27C9" w:rsidTr="00454ECD">
        <w:tc>
          <w:tcPr>
            <w:tcW w:w="2628" w:type="dxa"/>
          </w:tcPr>
          <w:p w:rsidR="00444012" w:rsidRPr="00AB27C9" w:rsidRDefault="00444012" w:rsidP="00454ECD">
            <w:pPr>
              <w:jc w:val="center"/>
            </w:pPr>
            <w:r w:rsidRPr="00AB27C9">
              <w:t>North Korea</w:t>
            </w:r>
          </w:p>
        </w:tc>
        <w:tc>
          <w:tcPr>
            <w:tcW w:w="2250" w:type="dxa"/>
          </w:tcPr>
          <w:p w:rsidR="00444012" w:rsidRPr="00AB27C9" w:rsidRDefault="00444012" w:rsidP="00454ECD">
            <w:pPr>
              <w:jc w:val="center"/>
            </w:pPr>
            <w:r w:rsidRPr="00AB27C9">
              <w:t>United States</w:t>
            </w:r>
          </w:p>
        </w:tc>
        <w:tc>
          <w:tcPr>
            <w:tcW w:w="4698" w:type="dxa"/>
          </w:tcPr>
          <w:p w:rsidR="00444012" w:rsidRPr="00AB27C9" w:rsidRDefault="00444012" w:rsidP="00454ECD">
            <w:r w:rsidRPr="00AB27C9">
              <w:t>Pre-emptive strike against massed ROK-US forces for annual spring military exercises.</w:t>
            </w:r>
          </w:p>
        </w:tc>
      </w:tr>
    </w:tbl>
    <w:p w:rsidR="00444012" w:rsidRPr="00AB27C9" w:rsidRDefault="00444012" w:rsidP="00444012"/>
    <w:p w:rsidR="002B3D37" w:rsidRPr="00AB27C9" w:rsidRDefault="002B3D37" w:rsidP="00444012"/>
    <w:p w:rsidR="00667EFD" w:rsidRPr="00AB27C9" w:rsidRDefault="00667EFD" w:rsidP="00444012">
      <w:pPr>
        <w:rPr>
          <w:i/>
        </w:rPr>
      </w:pPr>
      <w:r w:rsidRPr="00AB27C9">
        <w:rPr>
          <w:i/>
        </w:rPr>
        <w:t>Policy Memo</w:t>
      </w:r>
    </w:p>
    <w:p w:rsidR="00667EFD" w:rsidRPr="00AB27C9" w:rsidRDefault="00667EFD" w:rsidP="00667EFD">
      <w:pPr>
        <w:pStyle w:val="ListParagraph"/>
        <w:numPr>
          <w:ilvl w:val="0"/>
          <w:numId w:val="28"/>
        </w:numPr>
        <w:ind w:left="720"/>
      </w:pPr>
      <w:r w:rsidRPr="00AB27C9">
        <w:t>Due</w:t>
      </w:r>
      <w:r w:rsidR="00081557">
        <w:t>:</w:t>
      </w:r>
      <w:r w:rsidR="00081557">
        <w:tab/>
      </w:r>
      <w:r w:rsidR="00081557">
        <w:tab/>
      </w:r>
      <w:r w:rsidR="00902501" w:rsidRPr="00AB27C9">
        <w:t>May 1 at 5pm</w:t>
      </w:r>
    </w:p>
    <w:p w:rsidR="00667EFD" w:rsidRPr="00AB27C9" w:rsidRDefault="000E2BE5" w:rsidP="00667EFD">
      <w:pPr>
        <w:pStyle w:val="ListParagraph"/>
        <w:numPr>
          <w:ilvl w:val="0"/>
          <w:numId w:val="28"/>
        </w:numPr>
        <w:ind w:left="720"/>
        <w:rPr>
          <w:b/>
          <w:u w:val="single"/>
        </w:rPr>
      </w:pPr>
      <w:r>
        <w:t xml:space="preserve">Word </w:t>
      </w:r>
      <w:r w:rsidR="00902501" w:rsidRPr="00AB27C9">
        <w:t>Limit</w:t>
      </w:r>
      <w:r w:rsidR="00667EFD" w:rsidRPr="00AB27C9">
        <w:t xml:space="preserve">:  </w:t>
      </w:r>
      <w:r w:rsidR="00902501" w:rsidRPr="00AB27C9">
        <w:tab/>
      </w:r>
      <w:r>
        <w:t>1300 words</w:t>
      </w:r>
    </w:p>
    <w:p w:rsidR="00667EFD" w:rsidRPr="00AB27C9" w:rsidRDefault="00667EFD" w:rsidP="00667EFD"/>
    <w:p w:rsidR="00EC733D" w:rsidRPr="00AB27C9" w:rsidRDefault="005170C7" w:rsidP="00445B27">
      <w:r w:rsidRPr="00AB27C9">
        <w:t>In the second half of the course</w:t>
      </w:r>
      <w:r w:rsidR="002B3D37" w:rsidRPr="00AB27C9">
        <w:t xml:space="preserve"> (beginning with </w:t>
      </w:r>
      <w:r w:rsidR="00CB3DAE" w:rsidRPr="00AB27C9">
        <w:rPr>
          <w:i/>
        </w:rPr>
        <w:t>March 3</w:t>
      </w:r>
      <w:r w:rsidR="00087FC6" w:rsidRPr="00AB27C9">
        <w:rPr>
          <w:i/>
        </w:rPr>
        <w:t>0 –</w:t>
      </w:r>
      <w:r w:rsidR="00286E63" w:rsidRPr="00AB27C9">
        <w:rPr>
          <w:i/>
        </w:rPr>
        <w:t xml:space="preserve"> </w:t>
      </w:r>
      <w:r w:rsidR="002B3D37" w:rsidRPr="00AB27C9">
        <w:rPr>
          <w:i/>
        </w:rPr>
        <w:t>Civil Conflict</w:t>
      </w:r>
      <w:r w:rsidR="002B3D37" w:rsidRPr="00AB27C9">
        <w:t>)</w:t>
      </w:r>
      <w:r w:rsidRPr="00AB27C9">
        <w:t xml:space="preserve">, we </w:t>
      </w:r>
      <w:r w:rsidR="002B3D37" w:rsidRPr="00AB27C9">
        <w:t xml:space="preserve">will </w:t>
      </w:r>
      <w:r w:rsidR="00EC733D" w:rsidRPr="00AB27C9">
        <w:t>examine how the laws of war are being applied to contemporary military and political challenges.</w:t>
      </w:r>
      <w:r w:rsidR="00FB7FC5" w:rsidRPr="00AB27C9">
        <w:t xml:space="preserve">  </w:t>
      </w:r>
      <w:r w:rsidR="00445B27" w:rsidRPr="00AB27C9">
        <w:t>None of these are areas of settled law.  Consequently, you will write a policy memo based on one of these classes, although I will limit how many students can write on any given topic.</w:t>
      </w:r>
    </w:p>
    <w:p w:rsidR="00445B27" w:rsidRPr="00AB27C9" w:rsidRDefault="00445B27" w:rsidP="00445B27"/>
    <w:p w:rsidR="00445B27" w:rsidRPr="00AB27C9" w:rsidRDefault="00445B27" w:rsidP="00445B27">
      <w:r w:rsidRPr="00AB27C9">
        <w:t xml:space="preserve">You will devise an original policy-relevant question, </w:t>
      </w:r>
      <w:proofErr w:type="gramStart"/>
      <w:r w:rsidRPr="00AB27C9">
        <w:t>then</w:t>
      </w:r>
      <w:proofErr w:type="gramEnd"/>
      <w:r w:rsidRPr="00AB27C9">
        <w:t xml:space="preserve"> argue how the law of war should be adapted to it.</w:t>
      </w:r>
      <w:r w:rsidR="00B469C0" w:rsidRPr="00AB27C9">
        <w:t xml:space="preserve">  Be sure to respond to the most salient state objections.</w:t>
      </w:r>
    </w:p>
    <w:p w:rsidR="00543B79" w:rsidRPr="00AB27C9" w:rsidRDefault="00543B79" w:rsidP="00444012"/>
    <w:p w:rsidR="00F20F14" w:rsidRPr="00AB27C9" w:rsidRDefault="00F20F14" w:rsidP="00444012"/>
    <w:p w:rsidR="00EE5792" w:rsidRPr="00AB27C9" w:rsidRDefault="00EE5792" w:rsidP="00444012">
      <w:pPr>
        <w:rPr>
          <w:i/>
        </w:rPr>
      </w:pPr>
      <w:r w:rsidRPr="00AB27C9">
        <w:rPr>
          <w:i/>
        </w:rPr>
        <w:t>Peer Review</w:t>
      </w:r>
    </w:p>
    <w:p w:rsidR="00543B79" w:rsidRPr="00AB27C9" w:rsidRDefault="00F20F14" w:rsidP="00F20F14">
      <w:pPr>
        <w:pStyle w:val="ListParagraph"/>
        <w:numPr>
          <w:ilvl w:val="0"/>
          <w:numId w:val="28"/>
        </w:numPr>
        <w:ind w:left="720"/>
      </w:pPr>
      <w:r w:rsidRPr="00AB27C9">
        <w:t>Due:</w:t>
      </w:r>
      <w:r w:rsidRPr="00AB27C9">
        <w:tab/>
      </w:r>
      <w:r w:rsidRPr="00AB27C9">
        <w:tab/>
        <w:t>May 8 at 5 pm</w:t>
      </w:r>
    </w:p>
    <w:p w:rsidR="007A0AEF" w:rsidRPr="00AB27C9" w:rsidRDefault="000E2BE5" w:rsidP="008F6418">
      <w:pPr>
        <w:pStyle w:val="ListParagraph"/>
        <w:numPr>
          <w:ilvl w:val="0"/>
          <w:numId w:val="28"/>
        </w:numPr>
        <w:ind w:left="720"/>
      </w:pPr>
      <w:r>
        <w:t xml:space="preserve">Word </w:t>
      </w:r>
      <w:r w:rsidR="00F20F14" w:rsidRPr="00AB27C9">
        <w:t xml:space="preserve">Limit: </w:t>
      </w:r>
      <w:r w:rsidR="00F20F14" w:rsidRPr="00AB27C9">
        <w:tab/>
      </w:r>
      <w:r>
        <w:t>800 words</w:t>
      </w:r>
    </w:p>
    <w:p w:rsidR="007A0AEF" w:rsidRPr="00AB27C9" w:rsidRDefault="007A0AEF"/>
    <w:p w:rsidR="00476581" w:rsidRPr="00AB27C9" w:rsidRDefault="00476581" w:rsidP="007A0AEF">
      <w:r w:rsidRPr="00AB27C9">
        <w:t>Like participation, peer evaluation is a critical professional skill.  In your careers, you will undergo or make formal reviews of your colleagues</w:t>
      </w:r>
      <w:r w:rsidR="00654EC2" w:rsidRPr="00AB27C9">
        <w:t>, and you will informally evaluate their work da</w:t>
      </w:r>
      <w:r w:rsidR="00156582" w:rsidRPr="00AB27C9">
        <w:t>il</w:t>
      </w:r>
      <w:r w:rsidR="00654EC2" w:rsidRPr="00AB27C9">
        <w:t xml:space="preserve">y.  </w:t>
      </w:r>
      <w:r w:rsidRPr="00AB27C9">
        <w:t>Knowing how to constructively give and receive advice is something you should practice now, while the stakes are low.</w:t>
      </w:r>
    </w:p>
    <w:p w:rsidR="00476581" w:rsidRPr="00AB27C9" w:rsidRDefault="00476581" w:rsidP="007A0AEF"/>
    <w:p w:rsidR="00F7451F" w:rsidRPr="00AB27C9" w:rsidRDefault="00476581" w:rsidP="007A0AEF">
      <w:r w:rsidRPr="00AB27C9">
        <w:t xml:space="preserve">Consequently, </w:t>
      </w:r>
      <w:r w:rsidR="00B469C0" w:rsidRPr="00AB27C9">
        <w:t xml:space="preserve">I will randomly assign </w:t>
      </w:r>
      <w:r w:rsidR="00C1448B" w:rsidRPr="00AB27C9">
        <w:t xml:space="preserve">you one other student’s policy memo.  You will then </w:t>
      </w:r>
      <w:r w:rsidR="00AC73D9" w:rsidRPr="00AB27C9">
        <w:t xml:space="preserve">critique this document, evaluating the strength or weakness of the main points, </w:t>
      </w:r>
      <w:r w:rsidR="00A82317" w:rsidRPr="00AB27C9">
        <w:t xml:space="preserve">the memo’s </w:t>
      </w:r>
      <w:r w:rsidR="00AC73D9" w:rsidRPr="00AB27C9">
        <w:t xml:space="preserve">use of evidence, </w:t>
      </w:r>
      <w:r w:rsidR="00460DF5" w:rsidRPr="00AB27C9">
        <w:t xml:space="preserve">ideas or elements </w:t>
      </w:r>
      <w:r w:rsidR="0057009F" w:rsidRPr="00AB27C9">
        <w:t xml:space="preserve">that should have been </w:t>
      </w:r>
      <w:proofErr w:type="gramStart"/>
      <w:r w:rsidR="0057009F" w:rsidRPr="00AB27C9">
        <w:t>included,</w:t>
      </w:r>
      <w:proofErr w:type="gramEnd"/>
      <w:r w:rsidR="0057009F" w:rsidRPr="00AB27C9">
        <w:t xml:space="preserve"> and additional directions </w:t>
      </w:r>
      <w:r w:rsidR="00F7451F" w:rsidRPr="00AB27C9">
        <w:t>the author could go in.</w:t>
      </w:r>
    </w:p>
    <w:p w:rsidR="00F7451F" w:rsidRPr="00AB27C9" w:rsidRDefault="00F7451F" w:rsidP="007A0AEF"/>
    <w:p w:rsidR="00EC733D" w:rsidRPr="00AB27C9" w:rsidRDefault="004C1952" w:rsidP="007A0AEF">
      <w:r w:rsidRPr="00AB27C9">
        <w:t xml:space="preserve">I will send your comments alongside my own comments and grade to the original author.  In addition, I will </w:t>
      </w:r>
      <w:r w:rsidR="00997FB0" w:rsidRPr="00AB27C9">
        <w:t>separately return my evaluation of your peer review.</w:t>
      </w:r>
    </w:p>
    <w:p w:rsidR="00444012" w:rsidRPr="00AB27C9" w:rsidRDefault="00444012"/>
    <w:p w:rsidR="00F7451F" w:rsidRPr="00AB27C9" w:rsidRDefault="00F7451F"/>
    <w:p w:rsidR="0022044B" w:rsidRPr="00AB27C9" w:rsidRDefault="0022044B">
      <w:pPr>
        <w:rPr>
          <w:u w:val="single"/>
        </w:rPr>
      </w:pPr>
      <w:r w:rsidRPr="00AB27C9">
        <w:rPr>
          <w:u w:val="single"/>
        </w:rPr>
        <w:t>Written Assignment Format</w:t>
      </w:r>
    </w:p>
    <w:p w:rsidR="0022044B" w:rsidRPr="00AB27C9" w:rsidRDefault="0022044B">
      <w:r w:rsidRPr="00AB27C9">
        <w:t xml:space="preserve">All graded, written work must </w:t>
      </w:r>
      <w:proofErr w:type="gramStart"/>
      <w:r w:rsidRPr="00AB27C9">
        <w:t>conform</w:t>
      </w:r>
      <w:proofErr w:type="gramEnd"/>
      <w:r w:rsidRPr="00AB27C9">
        <w:t xml:space="preserve"> the following format:</w:t>
      </w:r>
    </w:p>
    <w:p w:rsidR="0022044B" w:rsidRPr="00AB27C9" w:rsidRDefault="0022044B"/>
    <w:p w:rsidR="0022044B" w:rsidRPr="00AB27C9" w:rsidRDefault="0022044B" w:rsidP="0022044B">
      <w:pPr>
        <w:pStyle w:val="ListParagraph"/>
        <w:numPr>
          <w:ilvl w:val="0"/>
          <w:numId w:val="28"/>
        </w:numPr>
      </w:pPr>
      <w:r w:rsidRPr="00AB27C9">
        <w:t>Microsoft Word Document</w:t>
      </w:r>
      <w:r w:rsidR="00384BD9" w:rsidRPr="00AB27C9">
        <w:t xml:space="preserve"> or PDF</w:t>
      </w:r>
    </w:p>
    <w:p w:rsidR="0022044B" w:rsidRPr="00AB27C9" w:rsidRDefault="0022044B" w:rsidP="0022044B">
      <w:pPr>
        <w:pStyle w:val="ListParagraph"/>
        <w:numPr>
          <w:ilvl w:val="1"/>
          <w:numId w:val="28"/>
        </w:numPr>
      </w:pPr>
      <w:r w:rsidRPr="00AB27C9">
        <w:t xml:space="preserve">KNOW HOW TO USE </w:t>
      </w:r>
      <w:r w:rsidR="00384BD9" w:rsidRPr="00AB27C9">
        <w:t>MS WORD</w:t>
      </w:r>
      <w:r w:rsidRPr="00AB27C9">
        <w:t>, including spell-check, footnotes, page breaks, lists (numbered or bulleted), centering, citation management.</w:t>
      </w:r>
    </w:p>
    <w:p w:rsidR="0022044B" w:rsidRPr="00AB27C9" w:rsidRDefault="00964FFA" w:rsidP="0022044B">
      <w:pPr>
        <w:pStyle w:val="ListParagraph"/>
        <w:numPr>
          <w:ilvl w:val="1"/>
          <w:numId w:val="28"/>
        </w:numPr>
      </w:pPr>
      <w:r w:rsidRPr="00AB27C9">
        <w:t>Formats that WON’T be accepted</w:t>
      </w:r>
      <w:r w:rsidR="0022044B" w:rsidRPr="00AB27C9">
        <w:t xml:space="preserve">:  Google Docs, Pages, WordPerfect, or really anything </w:t>
      </w:r>
      <w:r w:rsidR="004062ED" w:rsidRPr="00AB27C9">
        <w:t>other than Word docs or PDFs</w:t>
      </w:r>
      <w:r w:rsidR="00D54D24" w:rsidRPr="00AB27C9">
        <w:t>.</w:t>
      </w:r>
    </w:p>
    <w:p w:rsidR="0022044B" w:rsidRPr="00AB27C9" w:rsidRDefault="0022044B" w:rsidP="0022044B">
      <w:pPr>
        <w:pStyle w:val="ListParagraph"/>
        <w:numPr>
          <w:ilvl w:val="0"/>
          <w:numId w:val="28"/>
        </w:numPr>
      </w:pPr>
      <w:r w:rsidRPr="00AB27C9">
        <w:t>12 pt. font, Times New Roman</w:t>
      </w:r>
    </w:p>
    <w:p w:rsidR="0022044B" w:rsidRPr="00AB27C9" w:rsidRDefault="0022044B" w:rsidP="0022044B">
      <w:pPr>
        <w:pStyle w:val="ListParagraph"/>
        <w:numPr>
          <w:ilvl w:val="0"/>
          <w:numId w:val="28"/>
        </w:numPr>
      </w:pPr>
      <w:r w:rsidRPr="00AB27C9">
        <w:t>1 inch margins all around</w:t>
      </w:r>
    </w:p>
    <w:p w:rsidR="00CE7750" w:rsidRPr="00AB27C9" w:rsidRDefault="00CE7750" w:rsidP="0022044B">
      <w:pPr>
        <w:pStyle w:val="ListParagraph"/>
        <w:numPr>
          <w:ilvl w:val="0"/>
          <w:numId w:val="28"/>
        </w:numPr>
      </w:pPr>
      <w:r w:rsidRPr="00AB27C9">
        <w:t xml:space="preserve">Footnoted </w:t>
      </w:r>
      <w:r w:rsidR="00FA3188" w:rsidRPr="00AB27C9">
        <w:t xml:space="preserve">references and </w:t>
      </w:r>
      <w:r w:rsidRPr="00AB27C9">
        <w:t>citations.</w:t>
      </w:r>
    </w:p>
    <w:p w:rsidR="00444012" w:rsidRPr="00AB27C9" w:rsidRDefault="00444012"/>
    <w:p w:rsidR="00B80658" w:rsidRPr="00AB27C9" w:rsidRDefault="00B80658"/>
    <w:p w:rsidR="00B80658" w:rsidRPr="00AB27C9" w:rsidRDefault="00B80658" w:rsidP="00B80658">
      <w:r w:rsidRPr="00AB27C9">
        <w:rPr>
          <w:u w:val="single"/>
        </w:rPr>
        <w:t>Plagiarism</w:t>
      </w:r>
      <w:r w:rsidRPr="00AB27C9">
        <w:rPr>
          <w:u w:val="single"/>
        </w:rPr>
        <w:br/>
      </w:r>
      <w:r w:rsidRPr="00AB27C9">
        <w:t>Look, just don’t do it.  Here’s why:</w:t>
      </w:r>
    </w:p>
    <w:p w:rsidR="00B80658" w:rsidRPr="00AB27C9" w:rsidRDefault="00B80658" w:rsidP="00B80658"/>
    <w:p w:rsidR="00B80658" w:rsidRPr="00AB27C9" w:rsidRDefault="00B80658" w:rsidP="00B80658">
      <w:pPr>
        <w:pStyle w:val="ListParagraph"/>
        <w:numPr>
          <w:ilvl w:val="0"/>
          <w:numId w:val="29"/>
        </w:numPr>
      </w:pPr>
      <w:r w:rsidRPr="00AB27C9">
        <w:t>You are under the University’s Honor Code.  If you think honor doesn’t matter, then consider what that would imply about the laws of war.  Because if I catch you plagiarizing, you’re definitely writing an extra paper on that topic.</w:t>
      </w:r>
    </w:p>
    <w:p w:rsidR="00B80658" w:rsidRPr="00AB27C9" w:rsidRDefault="00B80658" w:rsidP="00B80658">
      <w:pPr>
        <w:pStyle w:val="ListParagraph"/>
        <w:numPr>
          <w:ilvl w:val="0"/>
          <w:numId w:val="29"/>
        </w:numPr>
      </w:pPr>
      <w:r w:rsidRPr="00AB27C9">
        <w:t xml:space="preserve">I have to report any Honor Code violations to the University.  I hate doing it, but I hate cheating </w:t>
      </w:r>
      <w:r w:rsidRPr="00AB27C9">
        <w:rPr>
          <w:i/>
        </w:rPr>
        <w:t>way</w:t>
      </w:r>
      <w:r w:rsidRPr="00AB27C9">
        <w:t xml:space="preserve"> more.  Don’t be that guy putting me in such a position.</w:t>
      </w:r>
    </w:p>
    <w:p w:rsidR="00B80658" w:rsidRPr="00AB27C9" w:rsidRDefault="00B80658" w:rsidP="00B80658">
      <w:pPr>
        <w:pStyle w:val="ListParagraph"/>
        <w:numPr>
          <w:ilvl w:val="0"/>
          <w:numId w:val="29"/>
        </w:numPr>
      </w:pPr>
      <w:r w:rsidRPr="00AB27C9">
        <w:t>The university makes plagiarism-detection software available to faculty.  Also, engaged faculty are pretty good about catching plagiarized material.</w:t>
      </w:r>
    </w:p>
    <w:p w:rsidR="00B80658" w:rsidRPr="00AB27C9" w:rsidRDefault="00B80658" w:rsidP="00B80658">
      <w:pPr>
        <w:pStyle w:val="ListParagraph"/>
        <w:numPr>
          <w:ilvl w:val="0"/>
          <w:numId w:val="29"/>
        </w:numPr>
      </w:pPr>
      <w:r w:rsidRPr="00AB27C9">
        <w:t xml:space="preserve">Even more importantly, good citation is how you reveal your originality.  Other professors really like </w:t>
      </w:r>
      <w:hyperlink r:id="rId11" w:history="1">
        <w:r w:rsidRPr="00AB27C9">
          <w:rPr>
            <w:rStyle w:val="Hyperlink"/>
          </w:rPr>
          <w:t>my statement on this topic</w:t>
        </w:r>
      </w:hyperlink>
      <w:r w:rsidRPr="00AB27C9">
        <w:t>.</w:t>
      </w:r>
    </w:p>
    <w:p w:rsidR="00B80658" w:rsidRPr="00AB27C9" w:rsidRDefault="00B80658" w:rsidP="00B80658"/>
    <w:p w:rsidR="00B80658" w:rsidRPr="00AB27C9" w:rsidRDefault="007A0AEF" w:rsidP="00B80658">
      <w:r w:rsidRPr="00AB27C9">
        <w:t xml:space="preserve">Most </w:t>
      </w:r>
      <w:r w:rsidR="00B80658" w:rsidRPr="00AB27C9">
        <w:t>importantly, if you need help, please just come see me!  My student hours and office location can be found at the top of this syllabus.</w:t>
      </w:r>
    </w:p>
    <w:p w:rsidR="00B80658" w:rsidRPr="00AB27C9" w:rsidRDefault="00B80658"/>
    <w:p w:rsidR="00B80658" w:rsidRPr="00AB27C9" w:rsidRDefault="00B80658"/>
    <w:p w:rsidR="00A911F9" w:rsidRPr="00AB27C9" w:rsidRDefault="00A911F9" w:rsidP="00A911F9">
      <w:pPr>
        <w:rPr>
          <w:u w:val="single"/>
        </w:rPr>
      </w:pPr>
      <w:r w:rsidRPr="00AB27C9">
        <w:rPr>
          <w:u w:val="single"/>
        </w:rPr>
        <w:t>Policy on Late Assignments</w:t>
      </w:r>
    </w:p>
    <w:p w:rsidR="00597702" w:rsidRPr="00AB27C9" w:rsidRDefault="00EB210F" w:rsidP="00A911F9">
      <w:r w:rsidRPr="00AB27C9">
        <w:t xml:space="preserve">If you need an extension on your paper, </w:t>
      </w:r>
      <w:r w:rsidR="00597702" w:rsidRPr="00AB27C9">
        <w:t xml:space="preserve">please </w:t>
      </w:r>
      <w:r w:rsidRPr="00AB27C9">
        <w:t>request it at least two days before the deadline</w:t>
      </w:r>
      <w:r w:rsidR="00597702" w:rsidRPr="00AB27C9">
        <w:t>.  I will not approve any requests made after that time, except in the case of unavoidable emergencies.</w:t>
      </w:r>
    </w:p>
    <w:p w:rsidR="00597702" w:rsidRPr="00AB27C9" w:rsidRDefault="00597702" w:rsidP="00A911F9"/>
    <w:p w:rsidR="00064419" w:rsidRPr="00AB27C9" w:rsidRDefault="00A911F9" w:rsidP="00064419">
      <w:r w:rsidRPr="00AB27C9">
        <w:t xml:space="preserve">One-third of a grade will be deducted for every day an assignment is late. </w:t>
      </w:r>
      <w:r w:rsidR="00EB210F" w:rsidRPr="00AB27C9">
        <w:t xml:space="preserve"> </w:t>
      </w:r>
      <w:r w:rsidRPr="00AB27C9">
        <w:t>Assignments will</w:t>
      </w:r>
      <w:r w:rsidR="0008458A">
        <w:t xml:space="preserve"> </w:t>
      </w:r>
      <w:r w:rsidRPr="00AB27C9">
        <w:t xml:space="preserve">not be accepted after the </w:t>
      </w:r>
      <w:r w:rsidR="004B0322" w:rsidRPr="00AB27C9">
        <w:t xml:space="preserve">Wednesday </w:t>
      </w:r>
      <w:r w:rsidR="00FD5E04" w:rsidRPr="00AB27C9">
        <w:t>following the assignment deadline.</w:t>
      </w:r>
    </w:p>
    <w:p w:rsidR="000B7141" w:rsidRPr="00AB27C9" w:rsidRDefault="000B7141"/>
    <w:p w:rsidR="00A911F9" w:rsidRPr="00AB27C9" w:rsidRDefault="00A911F9"/>
    <w:p w:rsidR="000B7141" w:rsidRPr="00AB27C9" w:rsidRDefault="00DF1A6F">
      <w:r w:rsidRPr="00AB27C9">
        <w:rPr>
          <w:u w:val="single"/>
        </w:rPr>
        <w:t>Policy on Class Absences</w:t>
      </w:r>
      <w:r w:rsidRPr="00AB27C9">
        <w:br/>
        <w:t>Attendance is part of your class participation grade.  That said</w:t>
      </w:r>
      <w:proofErr w:type="gramStart"/>
      <w:r w:rsidRPr="00AB27C9">
        <w:t>,</w:t>
      </w:r>
      <w:proofErr w:type="gramEnd"/>
      <w:r w:rsidRPr="00AB27C9">
        <w:t xml:space="preserve"> I recognize that we all have sudden, unavoidable, or simply difficult challenges that take priority over being a student.  Thus, each student may take two unexcused absences without penalty.  After two additional unexcused absences, you will be marked down one grade point for the semester.  </w:t>
      </w:r>
      <w:r w:rsidR="005C2469" w:rsidRPr="00AB27C9">
        <w:t>Excused a</w:t>
      </w:r>
      <w:r w:rsidRPr="00AB27C9">
        <w:t xml:space="preserve">bsences </w:t>
      </w:r>
      <w:r w:rsidR="005C2469" w:rsidRPr="00AB27C9">
        <w:t xml:space="preserve">can be granted </w:t>
      </w:r>
      <w:r w:rsidRPr="00AB27C9">
        <w:t xml:space="preserve">in cases of illness, family </w:t>
      </w:r>
      <w:proofErr w:type="gramStart"/>
      <w:r w:rsidRPr="00AB27C9">
        <w:t>emergency,</w:t>
      </w:r>
      <w:proofErr w:type="gramEnd"/>
      <w:r w:rsidRPr="00AB27C9">
        <w:t xml:space="preserve"> or official university approval.</w:t>
      </w:r>
    </w:p>
    <w:p w:rsidR="00DC3177" w:rsidRPr="00AB27C9" w:rsidRDefault="00707715" w:rsidP="004205DB">
      <w:pPr>
        <w:jc w:val="center"/>
        <w:rPr>
          <w:b/>
          <w:smallCaps/>
        </w:rPr>
      </w:pPr>
      <w:r w:rsidRPr="00AB27C9">
        <w:rPr>
          <w:b/>
          <w:smallCaps/>
        </w:rPr>
        <w:lastRenderedPageBreak/>
        <w:t>Class Topics and Reading List</w:t>
      </w:r>
    </w:p>
    <w:p w:rsidR="00F037FC" w:rsidRDefault="00F037FC"/>
    <w:p w:rsidR="00A43A19" w:rsidRDefault="00A43A19" w:rsidP="004D163E">
      <w:r>
        <w:t xml:space="preserve">Each </w:t>
      </w:r>
      <w:r w:rsidR="00050E90">
        <w:t xml:space="preserve">session’s </w:t>
      </w:r>
      <w:r>
        <w:t xml:space="preserve">assigned readings are </w:t>
      </w:r>
      <w:r w:rsidR="00050E90">
        <w:t xml:space="preserve">listed below.  </w:t>
      </w:r>
      <w:r w:rsidR="00F865C7">
        <w:t xml:space="preserve">In addition, throughout the semester, you </w:t>
      </w:r>
      <w:r w:rsidR="004D163E">
        <w:t xml:space="preserve">should at least skim the following pieces, as they form the foundation of modern international humanitarian law.  I recommend you complete them by </w:t>
      </w:r>
      <w:r w:rsidR="00F865C7">
        <w:t>March 16</w:t>
      </w:r>
      <w:r w:rsidR="004D163E">
        <w:t xml:space="preserve">, as </w:t>
      </w:r>
      <w:r w:rsidR="00A25C6E">
        <w:t>we will be applying these laws to contemporary challenges in warfare from that point forward.</w:t>
      </w:r>
    </w:p>
    <w:p w:rsidR="00050E90" w:rsidRPr="00AB27C9" w:rsidRDefault="00050E90"/>
    <w:p w:rsidR="00D56450" w:rsidRPr="00AB27C9" w:rsidRDefault="00076395" w:rsidP="00442612">
      <w:pPr>
        <w:pStyle w:val="ListParagraph"/>
        <w:numPr>
          <w:ilvl w:val="0"/>
          <w:numId w:val="20"/>
        </w:numPr>
      </w:pPr>
      <w:r w:rsidRPr="00AB27C9">
        <w:t xml:space="preserve">1899 and 1907 Hague Conventions, available through ICRC website:  </w:t>
      </w:r>
      <w:hyperlink r:id="rId12" w:history="1">
        <w:r w:rsidRPr="00AB27C9">
          <w:rPr>
            <w:rStyle w:val="Hyperlink"/>
          </w:rPr>
          <w:t>http://www.icrc.org/applic/ihl/ihl.nsf/vwTreatiesByDate.xsp</w:t>
        </w:r>
      </w:hyperlink>
      <w:r w:rsidRPr="00AB27C9">
        <w:t>. Look specifically at the titles of each convention. Read more thoroughly Convention II from 1899 and Convention IV from 1907, especially (for both) the section “on belligerents.”</w:t>
      </w:r>
    </w:p>
    <w:p w:rsidR="004D163E" w:rsidRPr="0041072B" w:rsidRDefault="004D163E" w:rsidP="004D163E">
      <w:pPr>
        <w:pStyle w:val="ListParagraph"/>
        <w:numPr>
          <w:ilvl w:val="0"/>
          <w:numId w:val="10"/>
        </w:numPr>
      </w:pPr>
      <w:r>
        <w:t>[SKIM</w:t>
      </w:r>
      <w:proofErr w:type="gramStart"/>
      <w:r>
        <w:t xml:space="preserve">]  </w:t>
      </w:r>
      <w:r w:rsidRPr="00994E8E">
        <w:t>1949</w:t>
      </w:r>
      <w:proofErr w:type="gramEnd"/>
      <w:r w:rsidRPr="00994E8E">
        <w:t xml:space="preserve"> Geneva Conventions, available through ICRC website</w:t>
      </w:r>
      <w:r>
        <w:t>.</w:t>
      </w:r>
    </w:p>
    <w:p w:rsidR="004D163E" w:rsidRDefault="004D163E" w:rsidP="004D163E">
      <w:pPr>
        <w:pStyle w:val="ListParagraph"/>
        <w:numPr>
          <w:ilvl w:val="0"/>
          <w:numId w:val="10"/>
        </w:numPr>
      </w:pPr>
      <w:r w:rsidRPr="0041072B">
        <w:t xml:space="preserve">Best, Geoffrey. </w:t>
      </w:r>
      <w:r w:rsidRPr="0041072B">
        <w:rPr>
          <w:i/>
        </w:rPr>
        <w:t xml:space="preserve">War &amp; Law </w:t>
      </w:r>
      <w:proofErr w:type="gramStart"/>
      <w:r w:rsidRPr="0041072B">
        <w:rPr>
          <w:i/>
        </w:rPr>
        <w:t>Since</w:t>
      </w:r>
      <w:proofErr w:type="gramEnd"/>
      <w:r w:rsidRPr="0041072B">
        <w:rPr>
          <w:i/>
        </w:rPr>
        <w:t xml:space="preserve"> 1945</w:t>
      </w:r>
      <w:r w:rsidRPr="0041072B">
        <w:t xml:space="preserve">. Oxford: Clarendon Press, 1994. </w:t>
      </w:r>
      <w:proofErr w:type="spellStart"/>
      <w:r w:rsidRPr="0041072B">
        <w:t>Chs</w:t>
      </w:r>
      <w:proofErr w:type="spellEnd"/>
      <w:r w:rsidRPr="0041072B">
        <w:t>. 5: “The Geneva Conventions of 1949.”</w:t>
      </w:r>
    </w:p>
    <w:p w:rsidR="00D56450" w:rsidRPr="0041072B" w:rsidRDefault="00F865C7" w:rsidP="00D56450">
      <w:pPr>
        <w:pStyle w:val="ListParagraph"/>
        <w:numPr>
          <w:ilvl w:val="0"/>
          <w:numId w:val="10"/>
        </w:numPr>
      </w:pPr>
      <w:r>
        <w:t>F</w:t>
      </w:r>
      <w:r w:rsidR="00D56450" w:rsidRPr="0041072B">
        <w:t xml:space="preserve">amiliarize yourself with the codified laws of war. </w:t>
      </w:r>
      <w:r w:rsidR="004D163E">
        <w:t xml:space="preserve"> </w:t>
      </w:r>
      <w:r>
        <w:t>L</w:t>
      </w:r>
      <w:r w:rsidR="00D56450" w:rsidRPr="0041072B">
        <w:t>ook at the</w:t>
      </w:r>
      <w:r>
        <w:t xml:space="preserve"> </w:t>
      </w:r>
      <w:r w:rsidR="00D56450" w:rsidRPr="0041072B">
        <w:t xml:space="preserve">ICRC’s list of Treaties at </w:t>
      </w:r>
      <w:hyperlink r:id="rId13" w:history="1">
        <w:r w:rsidR="00D56450" w:rsidRPr="0041072B">
          <w:rPr>
            <w:rStyle w:val="Hyperlink"/>
          </w:rPr>
          <w:t>https://www.icrc.org/ihl</w:t>
        </w:r>
      </w:hyperlink>
      <w:r w:rsidR="00D56450" w:rsidRPr="0041072B">
        <w:t>.</w:t>
      </w:r>
    </w:p>
    <w:p w:rsidR="00D56450" w:rsidRDefault="00D56450"/>
    <w:p w:rsidR="00D56450" w:rsidRPr="00AB27C9" w:rsidRDefault="00D56450"/>
    <w:p w:rsidR="006A0765" w:rsidRPr="00AB27C9" w:rsidRDefault="00B13817">
      <w:pPr>
        <w:rPr>
          <w:b/>
        </w:rPr>
      </w:pPr>
      <w:r w:rsidRPr="00AB27C9">
        <w:rPr>
          <w:b/>
        </w:rPr>
        <w:t>Jan. 22</w:t>
      </w:r>
      <w:r w:rsidRPr="00AB27C9">
        <w:tab/>
      </w:r>
      <w:r w:rsidRPr="00AB27C9">
        <w:rPr>
          <w:b/>
        </w:rPr>
        <w:t>Introduction</w:t>
      </w:r>
    </w:p>
    <w:p w:rsidR="00CD57F7" w:rsidRPr="00AB27C9" w:rsidRDefault="007E0127" w:rsidP="006A0765">
      <w:pPr>
        <w:pStyle w:val="ListParagraph"/>
        <w:numPr>
          <w:ilvl w:val="0"/>
          <w:numId w:val="8"/>
        </w:numPr>
      </w:pPr>
      <w:r>
        <w:t>Set e</w:t>
      </w:r>
      <w:r w:rsidR="008805B7" w:rsidRPr="00AB27C9">
        <w:t>xpectations for discussion</w:t>
      </w:r>
      <w:r w:rsidR="008A3D43" w:rsidRPr="00AB27C9">
        <w:t>, plagiarism</w:t>
      </w:r>
      <w:r w:rsidR="00CD57F7" w:rsidRPr="00AB27C9">
        <w:t>, computer use</w:t>
      </w:r>
    </w:p>
    <w:p w:rsidR="008805B7" w:rsidRPr="00AB27C9" w:rsidRDefault="00CD57F7" w:rsidP="006A0765">
      <w:pPr>
        <w:pStyle w:val="ListParagraph"/>
        <w:numPr>
          <w:ilvl w:val="0"/>
          <w:numId w:val="8"/>
        </w:numPr>
      </w:pPr>
      <w:r w:rsidRPr="00AB27C9">
        <w:t>Assignments</w:t>
      </w:r>
    </w:p>
    <w:p w:rsidR="002B7A0A" w:rsidRPr="00AB27C9" w:rsidRDefault="002B7A0A" w:rsidP="002708CF"/>
    <w:p w:rsidR="006A0765" w:rsidRPr="00AB27C9" w:rsidRDefault="006A0765"/>
    <w:p w:rsidR="0051793D" w:rsidRPr="00AB27C9" w:rsidRDefault="00B13817" w:rsidP="0051793D">
      <w:pPr>
        <w:rPr>
          <w:b/>
          <w:bCs/>
        </w:rPr>
      </w:pPr>
      <w:r w:rsidRPr="00AB27C9">
        <w:rPr>
          <w:b/>
          <w:bCs/>
        </w:rPr>
        <w:t>Jan. 27</w:t>
      </w:r>
      <w:r w:rsidRPr="00AB27C9">
        <w:rPr>
          <w:b/>
          <w:bCs/>
        </w:rPr>
        <w:tab/>
      </w:r>
      <w:r w:rsidR="0051793D" w:rsidRPr="00AB27C9">
        <w:rPr>
          <w:b/>
          <w:bCs/>
        </w:rPr>
        <w:t>Fighting Just Wars and Fighting Wars Justly</w:t>
      </w:r>
    </w:p>
    <w:p w:rsidR="0051793D" w:rsidRPr="00AB27C9" w:rsidRDefault="0051793D" w:rsidP="0051793D">
      <w:pPr>
        <w:pStyle w:val="ListParagraph"/>
        <w:numPr>
          <w:ilvl w:val="0"/>
          <w:numId w:val="14"/>
        </w:numPr>
      </w:pPr>
      <w:proofErr w:type="spellStart"/>
      <w:r w:rsidRPr="00AB27C9">
        <w:t>Dinstein</w:t>
      </w:r>
      <w:proofErr w:type="spellEnd"/>
      <w:r w:rsidRPr="00AB27C9">
        <w:t xml:space="preserve">, </w:t>
      </w:r>
      <w:proofErr w:type="spellStart"/>
      <w:r w:rsidRPr="00AB27C9">
        <w:t>Yoram</w:t>
      </w:r>
      <w:proofErr w:type="spellEnd"/>
      <w:r w:rsidRPr="00AB27C9">
        <w:t xml:space="preserve">. </w:t>
      </w:r>
      <w:r w:rsidRPr="00AB27C9">
        <w:rPr>
          <w:i/>
          <w:iCs/>
        </w:rPr>
        <w:t xml:space="preserve">The Conduct of Hostilities </w:t>
      </w:r>
      <w:proofErr w:type="gramStart"/>
      <w:r w:rsidRPr="00AB27C9">
        <w:rPr>
          <w:i/>
          <w:iCs/>
        </w:rPr>
        <w:t>Under</w:t>
      </w:r>
      <w:proofErr w:type="gramEnd"/>
      <w:r w:rsidRPr="00AB27C9">
        <w:rPr>
          <w:i/>
          <w:iCs/>
        </w:rPr>
        <w:t xml:space="preserve"> the Law of International Armed Conflict.</w:t>
      </w:r>
      <w:r w:rsidR="004205DB" w:rsidRPr="00AB27C9">
        <w:rPr>
          <w:i/>
          <w:iCs/>
        </w:rPr>
        <w:t xml:space="preserve">  </w:t>
      </w:r>
      <w:r w:rsidRPr="00AB27C9">
        <w:t>Cambridge: Cambridge University Press, 2004. Ch. 1: “The General</w:t>
      </w:r>
      <w:r w:rsidR="00BA41FB">
        <w:t xml:space="preserve"> </w:t>
      </w:r>
      <w:r w:rsidRPr="00AB27C9">
        <w:t>Framework.”</w:t>
      </w:r>
    </w:p>
    <w:p w:rsidR="0051793D" w:rsidRPr="00AB27C9" w:rsidRDefault="0051793D" w:rsidP="0051793D">
      <w:pPr>
        <w:pStyle w:val="ListParagraph"/>
        <w:numPr>
          <w:ilvl w:val="0"/>
          <w:numId w:val="14"/>
        </w:numPr>
      </w:pPr>
      <w:proofErr w:type="spellStart"/>
      <w:r w:rsidRPr="00AB27C9">
        <w:t>Sassoli</w:t>
      </w:r>
      <w:proofErr w:type="spellEnd"/>
      <w:r w:rsidRPr="00AB27C9">
        <w:t xml:space="preserve">, Marco, Antoine A. </w:t>
      </w:r>
      <w:proofErr w:type="spellStart"/>
      <w:r w:rsidRPr="00AB27C9">
        <w:t>Bouvier</w:t>
      </w:r>
      <w:proofErr w:type="spellEnd"/>
      <w:r w:rsidRPr="00AB27C9">
        <w:t xml:space="preserve"> and Anne Quinton. </w:t>
      </w:r>
      <w:r w:rsidRPr="00AB27C9">
        <w:rPr>
          <w:i/>
          <w:iCs/>
        </w:rPr>
        <w:t>How Does Law Protect in War?</w:t>
      </w:r>
      <w:r w:rsidR="00BA41FB">
        <w:rPr>
          <w:i/>
          <w:iCs/>
        </w:rPr>
        <w:t xml:space="preserve"> </w:t>
      </w:r>
      <w:r w:rsidRPr="00AB27C9">
        <w:t>3rd edition. Geneva: International Committee of the Red Cross, 2011. Vol. I,</w:t>
      </w:r>
      <w:r w:rsidR="00FB6302" w:rsidRPr="00AB27C9">
        <w:t xml:space="preserve"> </w:t>
      </w:r>
      <w:r w:rsidRPr="00AB27C9">
        <w:t>Ch.1. Available at:</w:t>
      </w:r>
      <w:r w:rsidR="004205DB" w:rsidRPr="00AB27C9">
        <w:t xml:space="preserve">  </w:t>
      </w:r>
      <w:hyperlink r:id="rId14" w:history="1">
        <w:r w:rsidRPr="00AB27C9">
          <w:rPr>
            <w:rStyle w:val="Hyperlink"/>
          </w:rPr>
          <w:t>http://www.icrc.org/eng/resources/documents/publication/p0739.htm</w:t>
        </w:r>
      </w:hyperlink>
    </w:p>
    <w:p w:rsidR="007C4B51" w:rsidRPr="00AB27C9" w:rsidRDefault="007C4B51"/>
    <w:p w:rsidR="0051793D" w:rsidRPr="00AB27C9" w:rsidRDefault="0051793D"/>
    <w:p w:rsidR="00144ED1" w:rsidRPr="00AB27C9" w:rsidRDefault="00B13817">
      <w:pPr>
        <w:rPr>
          <w:b/>
        </w:rPr>
      </w:pPr>
      <w:r w:rsidRPr="00AB27C9">
        <w:rPr>
          <w:b/>
        </w:rPr>
        <w:t>Jan. 29</w:t>
      </w:r>
      <w:r w:rsidRPr="00AB27C9">
        <w:rPr>
          <w:b/>
        </w:rPr>
        <w:tab/>
      </w:r>
      <w:r w:rsidR="00400313" w:rsidRPr="00AB27C9">
        <w:rPr>
          <w:b/>
        </w:rPr>
        <w:t xml:space="preserve">Jus Ad Bellum </w:t>
      </w:r>
      <w:r w:rsidR="00144ED1" w:rsidRPr="00AB27C9">
        <w:rPr>
          <w:b/>
        </w:rPr>
        <w:t>(</w:t>
      </w:r>
      <w:r w:rsidR="00400313" w:rsidRPr="00AB27C9">
        <w:rPr>
          <w:b/>
        </w:rPr>
        <w:t>Moral</w:t>
      </w:r>
      <w:r w:rsidR="00144ED1" w:rsidRPr="00AB27C9">
        <w:rPr>
          <w:b/>
        </w:rPr>
        <w:t>)</w:t>
      </w:r>
      <w:r w:rsidR="00A82304" w:rsidRPr="00AB27C9">
        <w:rPr>
          <w:b/>
        </w:rPr>
        <w:t xml:space="preserve">:  </w:t>
      </w:r>
      <w:r w:rsidR="00144ED1" w:rsidRPr="00AB27C9">
        <w:rPr>
          <w:b/>
        </w:rPr>
        <w:t>Last resort</w:t>
      </w:r>
      <w:r w:rsidR="00A82304" w:rsidRPr="00AB27C9">
        <w:rPr>
          <w:b/>
        </w:rPr>
        <w:t xml:space="preserve"> and </w:t>
      </w:r>
      <w:r w:rsidR="00144ED1" w:rsidRPr="00AB27C9">
        <w:rPr>
          <w:b/>
        </w:rPr>
        <w:t>Just cause</w:t>
      </w:r>
    </w:p>
    <w:p w:rsidR="00E95D3D" w:rsidRPr="00AB27C9" w:rsidRDefault="00A82304" w:rsidP="00A82304">
      <w:pPr>
        <w:pStyle w:val="ListParagraph"/>
        <w:numPr>
          <w:ilvl w:val="0"/>
          <w:numId w:val="5"/>
        </w:numPr>
      </w:pPr>
      <w:proofErr w:type="spellStart"/>
      <w:r w:rsidRPr="00AB27C9">
        <w:t>Walzer</w:t>
      </w:r>
      <w:proofErr w:type="spellEnd"/>
      <w:r w:rsidR="00E95D3D" w:rsidRPr="00AB27C9">
        <w:t>. Chapter 4:  “Law and Order in International Society.”</w:t>
      </w:r>
    </w:p>
    <w:p w:rsidR="00E95D3D" w:rsidRPr="00AB27C9" w:rsidRDefault="00E95D3D" w:rsidP="00E95D3D">
      <w:pPr>
        <w:pStyle w:val="ListParagraph"/>
        <w:numPr>
          <w:ilvl w:val="1"/>
          <w:numId w:val="5"/>
        </w:numPr>
      </w:pPr>
      <w:r w:rsidRPr="00AB27C9">
        <w:t>READ:  “Aggression”</w:t>
      </w:r>
      <w:proofErr w:type="gramStart"/>
      <w:r w:rsidRPr="00AB27C9">
        <w:t>;  “</w:t>
      </w:r>
      <w:proofErr w:type="gramEnd"/>
      <w:r w:rsidRPr="00AB27C9">
        <w:t>The Rights of Political Communities”;  “The Case of Alsace-Lorraine”; and “The Legalist Paradigm”.</w:t>
      </w:r>
    </w:p>
    <w:p w:rsidR="00A82304" w:rsidRPr="00AB27C9" w:rsidRDefault="00E95D3D" w:rsidP="00E95D3D">
      <w:pPr>
        <w:pStyle w:val="ListParagraph"/>
        <w:numPr>
          <w:ilvl w:val="1"/>
          <w:numId w:val="5"/>
        </w:numPr>
      </w:pPr>
      <w:r w:rsidRPr="00AB27C9">
        <w:t>STOP AT “Unavoidable Categories”</w:t>
      </w:r>
      <w:r w:rsidR="008202D7" w:rsidRPr="00AB27C9">
        <w:t>.</w:t>
      </w:r>
    </w:p>
    <w:p w:rsidR="00A82304" w:rsidRPr="00AB27C9" w:rsidRDefault="00A82304" w:rsidP="00A82304">
      <w:pPr>
        <w:pStyle w:val="ListParagraph"/>
        <w:numPr>
          <w:ilvl w:val="0"/>
          <w:numId w:val="5"/>
        </w:numPr>
      </w:pPr>
      <w:r w:rsidRPr="00AB27C9">
        <w:t>Esther Pan. “</w:t>
      </w:r>
      <w:hyperlink r:id="rId15" w:history="1">
        <w:r w:rsidRPr="00AB27C9">
          <w:rPr>
            <w:rStyle w:val="Hyperlink"/>
          </w:rPr>
          <w:t>IRAQ:  Justifying the War</w:t>
        </w:r>
      </w:hyperlink>
      <w:r w:rsidRPr="00AB27C9">
        <w:t xml:space="preserve">.” </w:t>
      </w:r>
      <w:r w:rsidRPr="00AB27C9">
        <w:rPr>
          <w:i/>
        </w:rPr>
        <w:t>Council on Foreign Relations</w:t>
      </w:r>
      <w:r w:rsidRPr="00AB27C9">
        <w:t xml:space="preserve">.  Feb. 2, 2005.  </w:t>
      </w:r>
    </w:p>
    <w:p w:rsidR="00A82304" w:rsidRPr="00AB27C9" w:rsidRDefault="00A82304" w:rsidP="00A82304"/>
    <w:p w:rsidR="00144ED1" w:rsidRPr="00AB27C9" w:rsidRDefault="00975FE1" w:rsidP="00975FE1">
      <w:pPr>
        <w:ind w:firstLine="360"/>
      </w:pPr>
      <w:r>
        <w:t>Come to class prepared to discuss the following questions:</w:t>
      </w:r>
    </w:p>
    <w:p w:rsidR="00A82304" w:rsidRPr="00AB27C9" w:rsidRDefault="00A82304" w:rsidP="00A82304">
      <w:pPr>
        <w:pStyle w:val="ListParagraph"/>
        <w:numPr>
          <w:ilvl w:val="0"/>
          <w:numId w:val="7"/>
        </w:numPr>
      </w:pPr>
      <w:r w:rsidRPr="00AB27C9">
        <w:t>Which reasons provided by the Bush administration provide a “just cause?”  Do any?</w:t>
      </w:r>
    </w:p>
    <w:p w:rsidR="00A82304" w:rsidRPr="00AB27C9" w:rsidRDefault="00E95D3D" w:rsidP="00A82304">
      <w:pPr>
        <w:pStyle w:val="ListParagraph"/>
        <w:numPr>
          <w:ilvl w:val="0"/>
          <w:numId w:val="7"/>
        </w:numPr>
      </w:pPr>
      <w:r w:rsidRPr="00AB27C9">
        <w:t>Was this war a last resort?  Could other steps have feasibly been taken?  Why or why not?</w:t>
      </w:r>
    </w:p>
    <w:p w:rsidR="00CE0A78" w:rsidRDefault="00CE0A78"/>
    <w:p w:rsidR="00975FE1" w:rsidRPr="00AB27C9" w:rsidRDefault="00975FE1"/>
    <w:p w:rsidR="00400313" w:rsidRPr="00AB27C9" w:rsidRDefault="00B13817">
      <w:pPr>
        <w:rPr>
          <w:b/>
        </w:rPr>
      </w:pPr>
      <w:r w:rsidRPr="00AB27C9">
        <w:rPr>
          <w:b/>
        </w:rPr>
        <w:t>Feb. 3</w:t>
      </w:r>
      <w:r w:rsidRPr="00AB27C9">
        <w:rPr>
          <w:b/>
        </w:rPr>
        <w:tab/>
      </w:r>
      <w:r w:rsidRPr="00AB27C9">
        <w:rPr>
          <w:b/>
        </w:rPr>
        <w:tab/>
      </w:r>
      <w:r w:rsidR="00400313" w:rsidRPr="00AB27C9">
        <w:rPr>
          <w:b/>
        </w:rPr>
        <w:t xml:space="preserve">Jus Ad Bellum </w:t>
      </w:r>
      <w:r w:rsidR="00144ED1" w:rsidRPr="00AB27C9">
        <w:rPr>
          <w:b/>
        </w:rPr>
        <w:t>(</w:t>
      </w:r>
      <w:r w:rsidR="00400313" w:rsidRPr="00AB27C9">
        <w:rPr>
          <w:b/>
        </w:rPr>
        <w:t>Legal</w:t>
      </w:r>
      <w:r w:rsidR="00144ED1" w:rsidRPr="00AB27C9">
        <w:rPr>
          <w:b/>
        </w:rPr>
        <w:t>)</w:t>
      </w:r>
    </w:p>
    <w:p w:rsidR="00BC6DF6" w:rsidRDefault="00651034" w:rsidP="00C00444">
      <w:pPr>
        <w:pStyle w:val="ListParagraph"/>
        <w:numPr>
          <w:ilvl w:val="0"/>
          <w:numId w:val="4"/>
        </w:numPr>
      </w:pPr>
      <w:proofErr w:type="spellStart"/>
      <w:r>
        <w:lastRenderedPageBreak/>
        <w:t>Eyal</w:t>
      </w:r>
      <w:proofErr w:type="spellEnd"/>
      <w:r>
        <w:t xml:space="preserve"> </w:t>
      </w:r>
      <w:proofErr w:type="spellStart"/>
      <w:r>
        <w:t>Benvenisti</w:t>
      </w:r>
      <w:proofErr w:type="spellEnd"/>
      <w:r>
        <w:t xml:space="preserve">. (2004) “The US and the Use of Force: Double-edged Hegemony and the Management of Global Emergencies.” </w:t>
      </w:r>
      <w:r w:rsidRPr="00651034">
        <w:rPr>
          <w:i/>
        </w:rPr>
        <w:t>European Journal of International Law</w:t>
      </w:r>
      <w:r>
        <w:t xml:space="preserve">. </w:t>
      </w:r>
      <w:r w:rsidR="0075688E">
        <w:t>15:4,</w:t>
      </w:r>
      <w:r w:rsidR="0075157C">
        <w:t xml:space="preserve"> </w:t>
      </w:r>
      <w:r w:rsidR="0075157C" w:rsidRPr="00C94673">
        <w:rPr>
          <w:b/>
          <w:u w:val="single"/>
        </w:rPr>
        <w:t xml:space="preserve">677-684, </w:t>
      </w:r>
      <w:r w:rsidR="00667422" w:rsidRPr="00C94673">
        <w:rPr>
          <w:b/>
          <w:u w:val="single"/>
        </w:rPr>
        <w:t>686 (</w:t>
      </w:r>
      <w:r w:rsidR="00606B4B" w:rsidRPr="00C94673">
        <w:rPr>
          <w:b/>
          <w:u w:val="single"/>
        </w:rPr>
        <w:t xml:space="preserve">just the </w:t>
      </w:r>
      <w:r w:rsidR="00667422" w:rsidRPr="00C94673">
        <w:rPr>
          <w:b/>
          <w:u w:val="single"/>
        </w:rPr>
        <w:t>paragraph after quoted text)</w:t>
      </w:r>
      <w:r w:rsidR="00FD5D50" w:rsidRPr="00C94673">
        <w:rPr>
          <w:b/>
          <w:u w:val="single"/>
        </w:rPr>
        <w:t>, 693-69</w:t>
      </w:r>
      <w:r w:rsidR="003124A3" w:rsidRPr="00C94673">
        <w:rPr>
          <w:b/>
          <w:u w:val="single"/>
        </w:rPr>
        <w:t>9</w:t>
      </w:r>
      <w:r w:rsidR="00FD5D50" w:rsidRPr="00C94673">
        <w:rPr>
          <w:b/>
          <w:u w:val="single"/>
        </w:rPr>
        <w:t xml:space="preserve"> (</w:t>
      </w:r>
      <w:r w:rsidR="003124A3" w:rsidRPr="00C94673">
        <w:rPr>
          <w:b/>
          <w:u w:val="single"/>
        </w:rPr>
        <w:t xml:space="preserve">Starting with </w:t>
      </w:r>
      <w:r w:rsidR="00FD5D50" w:rsidRPr="00C94673">
        <w:rPr>
          <w:b/>
          <w:u w:val="single"/>
        </w:rPr>
        <w:t>Section C)</w:t>
      </w:r>
      <w:r w:rsidR="0075688E">
        <w:t>.</w:t>
      </w:r>
    </w:p>
    <w:p w:rsidR="000B26C5" w:rsidRPr="00AB27C9" w:rsidRDefault="000B26C5" w:rsidP="00C00444">
      <w:pPr>
        <w:pStyle w:val="ListParagraph"/>
        <w:numPr>
          <w:ilvl w:val="0"/>
          <w:numId w:val="4"/>
        </w:numPr>
      </w:pPr>
      <w:r w:rsidRPr="00AB27C9">
        <w:t xml:space="preserve">Hague III, Article 1 and 2.  </w:t>
      </w:r>
      <w:hyperlink r:id="rId16" w:history="1">
        <w:r w:rsidRPr="00AB27C9">
          <w:rPr>
            <w:rStyle w:val="Hyperlink"/>
          </w:rPr>
          <w:t>https://avalon.law.yale.edu/20th_century/hague03.asp</w:t>
        </w:r>
      </w:hyperlink>
    </w:p>
    <w:p w:rsidR="00206752" w:rsidRPr="00AB27C9" w:rsidRDefault="00206752" w:rsidP="00400313">
      <w:pPr>
        <w:pStyle w:val="ListParagraph"/>
        <w:numPr>
          <w:ilvl w:val="0"/>
          <w:numId w:val="4"/>
        </w:numPr>
      </w:pPr>
      <w:r w:rsidRPr="00AB27C9">
        <w:t xml:space="preserve">Chapter VII, UN Charter:  </w:t>
      </w:r>
      <w:hyperlink r:id="rId17" w:history="1">
        <w:r w:rsidRPr="00AB27C9">
          <w:rPr>
            <w:rStyle w:val="Hyperlink"/>
          </w:rPr>
          <w:t>https://www.un.org/en/sections/un-charter/chapter-vii/index.html</w:t>
        </w:r>
      </w:hyperlink>
    </w:p>
    <w:p w:rsidR="00A467F8" w:rsidRPr="00AB27C9" w:rsidRDefault="00A467F8" w:rsidP="00A467F8">
      <w:pPr>
        <w:pStyle w:val="ListParagraph"/>
        <w:numPr>
          <w:ilvl w:val="0"/>
          <w:numId w:val="4"/>
        </w:numPr>
      </w:pPr>
      <w:r>
        <w:t xml:space="preserve">WATCH:  </w:t>
      </w:r>
      <w:r w:rsidRPr="00AB27C9">
        <w:t>Occupied, Season 1, Episode 1 ONLY.  Available on Netflix.  Do NOT watch any further episodes or seasons.  If you’ve already seen the show, watch this episode again and don’t tell anyone what happens.</w:t>
      </w:r>
    </w:p>
    <w:p w:rsidR="006A0765" w:rsidRPr="00AB27C9" w:rsidRDefault="006A0765"/>
    <w:p w:rsidR="00DE1E9F" w:rsidRPr="00AB27C9" w:rsidRDefault="00DE1E9F"/>
    <w:p w:rsidR="00A7775C" w:rsidRPr="00AB27C9" w:rsidRDefault="00B13817" w:rsidP="00A7775C">
      <w:r w:rsidRPr="00AB27C9">
        <w:rPr>
          <w:b/>
        </w:rPr>
        <w:t>Feb. 5</w:t>
      </w:r>
      <w:r w:rsidRPr="00AB27C9">
        <w:rPr>
          <w:b/>
        </w:rPr>
        <w:tab/>
      </w:r>
      <w:r w:rsidRPr="00AB27C9">
        <w:rPr>
          <w:b/>
        </w:rPr>
        <w:tab/>
      </w:r>
      <w:r w:rsidR="00A7775C" w:rsidRPr="00AB27C9">
        <w:rPr>
          <w:b/>
        </w:rPr>
        <w:t>National Security Decision Memo Guidance</w:t>
      </w:r>
    </w:p>
    <w:p w:rsidR="007D1ABA" w:rsidRPr="00AB27C9" w:rsidRDefault="007D1ABA" w:rsidP="001142B9"/>
    <w:p w:rsidR="001142B9" w:rsidRPr="00AB27C9" w:rsidRDefault="001142B9" w:rsidP="001142B9"/>
    <w:p w:rsidR="00A7775C" w:rsidRPr="00AB27C9" w:rsidRDefault="00B13817" w:rsidP="00A7775C">
      <w:pPr>
        <w:rPr>
          <w:b/>
        </w:rPr>
      </w:pPr>
      <w:r w:rsidRPr="0077748C">
        <w:rPr>
          <w:b/>
        </w:rPr>
        <w:t>Feb. 10</w:t>
      </w:r>
      <w:r w:rsidRPr="0077748C">
        <w:rPr>
          <w:b/>
        </w:rPr>
        <w:tab/>
      </w:r>
      <w:r w:rsidR="00A7775C" w:rsidRPr="00AB27C9">
        <w:rPr>
          <w:b/>
        </w:rPr>
        <w:t>Sources of International Law:  Customary and Positive International Law</w:t>
      </w:r>
    </w:p>
    <w:p w:rsidR="00A7775C" w:rsidRPr="00AB27C9" w:rsidRDefault="00A7775C" w:rsidP="00A7775C">
      <w:pPr>
        <w:pStyle w:val="ListParagraph"/>
        <w:numPr>
          <w:ilvl w:val="0"/>
          <w:numId w:val="10"/>
        </w:numPr>
      </w:pPr>
      <w:r w:rsidRPr="00AB27C9">
        <w:t xml:space="preserve">Shaw, Malcolm. </w:t>
      </w:r>
      <w:r w:rsidRPr="00AB27C9">
        <w:rPr>
          <w:i/>
          <w:iCs/>
        </w:rPr>
        <w:t>International Law</w:t>
      </w:r>
      <w:r w:rsidRPr="00AB27C9">
        <w:t>, 6th Ed. Cambridge: Cambridge University Press</w:t>
      </w:r>
      <w:proofErr w:type="gramStart"/>
      <w:r w:rsidRPr="00AB27C9">
        <w:t>,</w:t>
      </w:r>
      <w:proofErr w:type="gramEnd"/>
      <w:r w:rsidRPr="00AB27C9">
        <w:br/>
        <w:t>2008. Ch. 3: “Sources.”</w:t>
      </w:r>
    </w:p>
    <w:p w:rsidR="00A7775C" w:rsidRPr="00AB27C9" w:rsidRDefault="00A7775C" w:rsidP="00A7775C">
      <w:pPr>
        <w:ind w:firstLine="360"/>
        <w:rPr>
          <w:i/>
        </w:rPr>
      </w:pPr>
    </w:p>
    <w:p w:rsidR="00A7775C" w:rsidRPr="00AB27C9" w:rsidRDefault="00A7775C" w:rsidP="00A7775C">
      <w:pPr>
        <w:ind w:firstLine="360"/>
        <w:rPr>
          <w:i/>
        </w:rPr>
      </w:pPr>
      <w:r w:rsidRPr="00AB27C9">
        <w:rPr>
          <w:i/>
        </w:rPr>
        <w:t>Questions</w:t>
      </w:r>
    </w:p>
    <w:p w:rsidR="00A7775C" w:rsidRPr="00AB27C9" w:rsidRDefault="00A7775C" w:rsidP="00A7775C">
      <w:pPr>
        <w:pStyle w:val="ListParagraph"/>
        <w:numPr>
          <w:ilvl w:val="0"/>
          <w:numId w:val="11"/>
        </w:numPr>
      </w:pPr>
      <w:r w:rsidRPr="00AB27C9">
        <w:t>Major differences between customary and positive international law?  Is one better suited for certain types of problems than others?  What’s the distinction?</w:t>
      </w:r>
    </w:p>
    <w:p w:rsidR="00A7775C" w:rsidRPr="00AB27C9" w:rsidRDefault="00A7775C" w:rsidP="00A7775C">
      <w:pPr>
        <w:pStyle w:val="ListParagraph"/>
        <w:numPr>
          <w:ilvl w:val="0"/>
          <w:numId w:val="11"/>
        </w:numPr>
      </w:pPr>
      <w:r w:rsidRPr="00AB27C9">
        <w:t>What is the benefit of unwritten customary law?</w:t>
      </w:r>
    </w:p>
    <w:p w:rsidR="003A5C7E" w:rsidRPr="00AB27C9" w:rsidRDefault="003A5C7E" w:rsidP="001142B9"/>
    <w:p w:rsidR="0025594E" w:rsidRPr="00AB27C9" w:rsidRDefault="0025594E" w:rsidP="0025594E">
      <w:pPr>
        <w:rPr>
          <w:b/>
        </w:rPr>
      </w:pPr>
    </w:p>
    <w:p w:rsidR="00A7775C" w:rsidRPr="0077748C" w:rsidRDefault="00B13817" w:rsidP="00A7775C">
      <w:r w:rsidRPr="0077748C">
        <w:rPr>
          <w:b/>
        </w:rPr>
        <w:t>Feb. 12</w:t>
      </w:r>
      <w:r w:rsidRPr="0077748C">
        <w:rPr>
          <w:b/>
        </w:rPr>
        <w:tab/>
      </w:r>
      <w:r w:rsidR="00A7775C" w:rsidRPr="0077748C">
        <w:rPr>
          <w:b/>
        </w:rPr>
        <w:t>Customary vs. Positive International Law:  Distinction</w:t>
      </w:r>
    </w:p>
    <w:p w:rsidR="00A7775C" w:rsidRPr="0077748C" w:rsidRDefault="00A7775C" w:rsidP="00A7775C">
      <w:pPr>
        <w:pStyle w:val="ListParagraph"/>
        <w:numPr>
          <w:ilvl w:val="0"/>
          <w:numId w:val="10"/>
        </w:numPr>
      </w:pPr>
      <w:r w:rsidRPr="0077748C">
        <w:t xml:space="preserve">[SKIM]  </w:t>
      </w:r>
      <w:proofErr w:type="spellStart"/>
      <w:r w:rsidRPr="0077748C">
        <w:t>Tanisha</w:t>
      </w:r>
      <w:proofErr w:type="spellEnd"/>
      <w:r w:rsidRPr="0077748C">
        <w:t xml:space="preserve"> M. </w:t>
      </w:r>
      <w:proofErr w:type="spellStart"/>
      <w:r w:rsidRPr="0077748C">
        <w:t>Fazal</w:t>
      </w:r>
      <w:proofErr w:type="spellEnd"/>
      <w:r w:rsidRPr="0077748C">
        <w:t xml:space="preserve">. (2012). “Why States No Longer Declare War.” </w:t>
      </w:r>
      <w:r w:rsidRPr="0077748C">
        <w:rPr>
          <w:i/>
        </w:rPr>
        <w:t>Security Studies</w:t>
      </w:r>
      <w:r w:rsidRPr="0077748C">
        <w:t>. 21:4, 557-593.</w:t>
      </w:r>
    </w:p>
    <w:p w:rsidR="00A7775C" w:rsidRPr="0077748C" w:rsidRDefault="00A7775C" w:rsidP="00A7775C">
      <w:pPr>
        <w:pStyle w:val="ListParagraph"/>
        <w:numPr>
          <w:ilvl w:val="0"/>
          <w:numId w:val="10"/>
        </w:numPr>
      </w:pPr>
      <w:r w:rsidRPr="0077748C">
        <w:t xml:space="preserve">Customary:  </w:t>
      </w:r>
      <w:hyperlink r:id="rId18" w:history="1">
        <w:r w:rsidRPr="0077748C">
          <w:rPr>
            <w:rStyle w:val="Hyperlink"/>
          </w:rPr>
          <w:t>ICRC customary international law database</w:t>
        </w:r>
      </w:hyperlink>
      <w:r w:rsidRPr="0077748C">
        <w:t>:</w:t>
      </w:r>
    </w:p>
    <w:p w:rsidR="00A7775C" w:rsidRPr="0077748C" w:rsidRDefault="00A7775C" w:rsidP="00A7775C">
      <w:pPr>
        <w:pStyle w:val="ListParagraph"/>
        <w:numPr>
          <w:ilvl w:val="1"/>
          <w:numId w:val="10"/>
        </w:numPr>
      </w:pPr>
      <w:r>
        <w:t xml:space="preserve">Rule 1 – </w:t>
      </w:r>
      <w:r w:rsidRPr="0077748C">
        <w:t xml:space="preserve">Distinction:  </w:t>
      </w:r>
      <w:hyperlink r:id="rId19" w:history="1">
        <w:r w:rsidRPr="0077748C">
          <w:rPr>
            <w:rStyle w:val="Hyperlink"/>
          </w:rPr>
          <w:t>https://ihl-databases.icrc.org/customary-ihl/eng/docs/v1_rul_rule1</w:t>
        </w:r>
      </w:hyperlink>
    </w:p>
    <w:p w:rsidR="00A7775C" w:rsidRPr="0077748C" w:rsidRDefault="00A7775C" w:rsidP="00A7775C">
      <w:pPr>
        <w:pStyle w:val="ListParagraph"/>
        <w:numPr>
          <w:ilvl w:val="1"/>
          <w:numId w:val="10"/>
        </w:numPr>
      </w:pPr>
      <w:r>
        <w:t xml:space="preserve">Rule 3 – </w:t>
      </w:r>
      <w:r w:rsidRPr="0077748C">
        <w:t xml:space="preserve">Combatant:  </w:t>
      </w:r>
      <w:hyperlink r:id="rId20" w:history="1">
        <w:r w:rsidRPr="0077748C">
          <w:rPr>
            <w:rStyle w:val="Hyperlink"/>
          </w:rPr>
          <w:t>https://ihl-databases.icrc.org/customary-ihl/eng/docs/v1_rul_rule3</w:t>
        </w:r>
      </w:hyperlink>
    </w:p>
    <w:p w:rsidR="00A7775C" w:rsidRPr="0077748C" w:rsidRDefault="00A7775C" w:rsidP="00A7775C">
      <w:pPr>
        <w:pStyle w:val="ListParagraph"/>
        <w:numPr>
          <w:ilvl w:val="1"/>
          <w:numId w:val="10"/>
        </w:numPr>
      </w:pPr>
      <w:r>
        <w:t xml:space="preserve">Rule 5 – </w:t>
      </w:r>
      <w:r w:rsidRPr="0077748C">
        <w:t xml:space="preserve">Civilian:  </w:t>
      </w:r>
      <w:hyperlink r:id="rId21" w:history="1">
        <w:r w:rsidRPr="0077748C">
          <w:rPr>
            <w:rStyle w:val="Hyperlink"/>
          </w:rPr>
          <w:t>https://ihl-databases.icrc.org/customary-ihl/eng/docs/v1_rul_rule5</w:t>
        </w:r>
      </w:hyperlink>
    </w:p>
    <w:p w:rsidR="00A7775C" w:rsidRPr="0077748C" w:rsidRDefault="00A7775C" w:rsidP="00A7775C">
      <w:pPr>
        <w:pStyle w:val="ListParagraph"/>
        <w:numPr>
          <w:ilvl w:val="0"/>
          <w:numId w:val="10"/>
        </w:numPr>
      </w:pPr>
      <w:r w:rsidRPr="0077748C">
        <w:t>Positive:  Geneva Conventions</w:t>
      </w:r>
    </w:p>
    <w:p w:rsidR="00A7775C" w:rsidRPr="0077748C" w:rsidRDefault="00A7775C" w:rsidP="00A7775C">
      <w:pPr>
        <w:pStyle w:val="ListParagraph"/>
        <w:numPr>
          <w:ilvl w:val="1"/>
          <w:numId w:val="10"/>
        </w:numPr>
      </w:pPr>
      <w:r w:rsidRPr="0077748C">
        <w:t xml:space="preserve">GC1, Article 3:  </w:t>
      </w:r>
      <w:hyperlink r:id="rId22" w:history="1">
        <w:r w:rsidRPr="0077748C">
          <w:rPr>
            <w:rStyle w:val="Hyperlink"/>
          </w:rPr>
          <w:t>https://ihl-databases.icrc.org/applic/ihl/ihl.nsf/WebART/365-570006?OpenDocument</w:t>
        </w:r>
      </w:hyperlink>
    </w:p>
    <w:p w:rsidR="00A7775C" w:rsidRPr="0077748C" w:rsidRDefault="00A7775C" w:rsidP="00A7775C">
      <w:pPr>
        <w:pStyle w:val="ListParagraph"/>
        <w:numPr>
          <w:ilvl w:val="1"/>
          <w:numId w:val="10"/>
        </w:numPr>
      </w:pPr>
      <w:r w:rsidRPr="0077748C">
        <w:t xml:space="preserve">GC3, Art 4:  </w:t>
      </w:r>
      <w:hyperlink r:id="rId23" w:history="1">
        <w:r w:rsidRPr="0077748C">
          <w:rPr>
            <w:rStyle w:val="Hyperlink"/>
          </w:rPr>
          <w:t>https://ihl-databases.icrc.org/applic/ihl/ihl.nsf/9ac284404d38ed2bc1256311002afd89/2f681b08868538c2c12563cd0051aa8d</w:t>
        </w:r>
      </w:hyperlink>
      <w:r w:rsidRPr="0077748C">
        <w:t xml:space="preserve"> </w:t>
      </w:r>
    </w:p>
    <w:p w:rsidR="00A7775C" w:rsidRDefault="00A7775C" w:rsidP="00A7775C">
      <w:pPr>
        <w:pStyle w:val="ListParagraph"/>
        <w:numPr>
          <w:ilvl w:val="1"/>
          <w:numId w:val="10"/>
        </w:numPr>
      </w:pPr>
      <w:r w:rsidRPr="0077748C">
        <w:t>Additional Protocol, Art</w:t>
      </w:r>
      <w:r>
        <w:t xml:space="preserve"> 43:  </w:t>
      </w:r>
      <w:hyperlink r:id="rId24" w:history="1">
        <w:r w:rsidRPr="0043040A">
          <w:rPr>
            <w:rStyle w:val="Hyperlink"/>
          </w:rPr>
          <w:t>https://ihl-databases.icrc.org/applic/ihl/ihl.nsf/9ac284404d38ed2bc1256311002afd89/af64638eb5530e58c12563cd0051db93</w:t>
        </w:r>
      </w:hyperlink>
    </w:p>
    <w:p w:rsidR="00A7775C" w:rsidRPr="0077748C" w:rsidRDefault="00A7775C" w:rsidP="00A7775C">
      <w:pPr>
        <w:pStyle w:val="ListParagraph"/>
        <w:numPr>
          <w:ilvl w:val="1"/>
          <w:numId w:val="10"/>
        </w:numPr>
      </w:pPr>
      <w:r w:rsidRPr="0077748C">
        <w:lastRenderedPageBreak/>
        <w:t xml:space="preserve">Additional Protocol, Art 50:  </w:t>
      </w:r>
      <w:hyperlink r:id="rId25" w:history="1">
        <w:r w:rsidRPr="0077748C">
          <w:rPr>
            <w:rStyle w:val="Hyperlink"/>
          </w:rPr>
          <w:t>https://ihl-databases.icrc.org/applic/ihl/ihl.nsf/Article.xsp?action=openDocument&amp;documentId=E1F8F99C4C3F8FE4C12563CD0051DC8A</w:t>
        </w:r>
      </w:hyperlink>
    </w:p>
    <w:p w:rsidR="00A7775C" w:rsidRPr="0077748C" w:rsidRDefault="00A7775C" w:rsidP="00A7775C">
      <w:pPr>
        <w:pStyle w:val="ListParagraph"/>
        <w:numPr>
          <w:ilvl w:val="1"/>
          <w:numId w:val="10"/>
        </w:numPr>
      </w:pPr>
      <w:r w:rsidRPr="0077748C">
        <w:t xml:space="preserve">Additional Protocol, Art 51:  </w:t>
      </w:r>
      <w:hyperlink r:id="rId26" w:history="1">
        <w:r w:rsidRPr="0077748C">
          <w:rPr>
            <w:rStyle w:val="Hyperlink"/>
          </w:rPr>
          <w:t>https://ihl-databases.icrc.org/applic/ihl/ihl.nsf/Article.xsp?action=openDocument&amp;documentId=4BEBD9920AE0AEAEC12563CD0051DC9E</w:t>
        </w:r>
      </w:hyperlink>
    </w:p>
    <w:p w:rsidR="003F438A" w:rsidRPr="00AB27C9" w:rsidRDefault="003F438A"/>
    <w:p w:rsidR="00110A58" w:rsidRPr="00AB27C9" w:rsidRDefault="00110A58"/>
    <w:p w:rsidR="00A7775C" w:rsidRPr="0077748C" w:rsidRDefault="00B13817" w:rsidP="00A7775C">
      <w:pPr>
        <w:rPr>
          <w:b/>
        </w:rPr>
      </w:pPr>
      <w:r w:rsidRPr="00AB27C9">
        <w:rPr>
          <w:b/>
        </w:rPr>
        <w:t>Feb. 17</w:t>
      </w:r>
      <w:r w:rsidRPr="00AB27C9">
        <w:rPr>
          <w:b/>
        </w:rPr>
        <w:tab/>
      </w:r>
      <w:r w:rsidR="00A7775C" w:rsidRPr="0077748C">
        <w:rPr>
          <w:b/>
        </w:rPr>
        <w:t>International Law of War:  Scope and Application</w:t>
      </w:r>
    </w:p>
    <w:p w:rsidR="00A7775C" w:rsidRPr="00AB27C9" w:rsidRDefault="00A7775C" w:rsidP="00A7775C">
      <w:pPr>
        <w:pStyle w:val="ListParagraph"/>
        <w:numPr>
          <w:ilvl w:val="0"/>
          <w:numId w:val="10"/>
        </w:numPr>
      </w:pPr>
      <w:r w:rsidRPr="00AB27C9">
        <w:t>Greenwood, Christopher J. “Scope of Application of Humanitarian Law,” in Dieter</w:t>
      </w:r>
      <w:r w:rsidRPr="00AB27C9">
        <w:br/>
        <w:t>Fleck, (</w:t>
      </w:r>
      <w:proofErr w:type="gramStart"/>
      <w:r w:rsidRPr="00AB27C9">
        <w:t>ed</w:t>
      </w:r>
      <w:proofErr w:type="gramEnd"/>
      <w:r w:rsidRPr="00AB27C9">
        <w:t xml:space="preserve">.). </w:t>
      </w:r>
      <w:r w:rsidRPr="00AB27C9">
        <w:rPr>
          <w:i/>
          <w:iCs/>
        </w:rPr>
        <w:t xml:space="preserve">The Handbook of International Humanitarian Law </w:t>
      </w:r>
      <w:r w:rsidRPr="00AB27C9">
        <w:t xml:space="preserve">(2nd </w:t>
      </w:r>
      <w:proofErr w:type="gramStart"/>
      <w:r w:rsidRPr="00AB27C9">
        <w:t>ed</w:t>
      </w:r>
      <w:proofErr w:type="gramEnd"/>
      <w:r w:rsidRPr="00AB27C9">
        <w:t>.). New York:</w:t>
      </w:r>
      <w:r w:rsidRPr="00AB27C9">
        <w:br/>
        <w:t>Oxford University Press, 2008, pp. 45-59 only</w:t>
      </w:r>
    </w:p>
    <w:p w:rsidR="008805B7" w:rsidRPr="00AB27C9" w:rsidRDefault="008805B7">
      <w:pPr>
        <w:rPr>
          <w:i/>
        </w:rPr>
      </w:pPr>
    </w:p>
    <w:p w:rsidR="008E349A" w:rsidRPr="00AB27C9" w:rsidRDefault="008E349A"/>
    <w:p w:rsidR="00BE157E" w:rsidRPr="00AB27C9" w:rsidRDefault="00B13817" w:rsidP="00B07542">
      <w:r w:rsidRPr="00AB27C9">
        <w:rPr>
          <w:b/>
        </w:rPr>
        <w:t>Feb. 19</w:t>
      </w:r>
      <w:r w:rsidRPr="00AB27C9">
        <w:rPr>
          <w:b/>
        </w:rPr>
        <w:tab/>
      </w:r>
      <w:proofErr w:type="gramStart"/>
      <w:r w:rsidR="00B07542" w:rsidRPr="00AB27C9">
        <w:rPr>
          <w:b/>
        </w:rPr>
        <w:t>The</w:t>
      </w:r>
      <w:proofErr w:type="gramEnd"/>
      <w:r w:rsidR="00B07542" w:rsidRPr="00AB27C9">
        <w:rPr>
          <w:b/>
        </w:rPr>
        <w:t xml:space="preserve"> Oil Pricing Game</w:t>
      </w:r>
    </w:p>
    <w:p w:rsidR="003159E6" w:rsidRPr="00AB27C9" w:rsidRDefault="00B07542" w:rsidP="00B07542">
      <w:pPr>
        <w:pStyle w:val="ListParagraph"/>
        <w:numPr>
          <w:ilvl w:val="0"/>
          <w:numId w:val="10"/>
        </w:numPr>
      </w:pPr>
      <w:r w:rsidRPr="00AB27C9">
        <w:t>No readings this session, so read stuff from further ahead to lighten your load.</w:t>
      </w:r>
    </w:p>
    <w:p w:rsidR="00FB6302" w:rsidRPr="00AB27C9" w:rsidRDefault="00FB6302"/>
    <w:p w:rsidR="00B07542" w:rsidRPr="00AB27C9" w:rsidRDefault="00B07542"/>
    <w:p w:rsidR="00B07542" w:rsidRPr="0077748C" w:rsidRDefault="00B13817" w:rsidP="00B07542">
      <w:pPr>
        <w:rPr>
          <w:b/>
        </w:rPr>
      </w:pPr>
      <w:r w:rsidRPr="0077748C">
        <w:rPr>
          <w:b/>
          <w:bCs/>
        </w:rPr>
        <w:t>Feb. 24</w:t>
      </w:r>
      <w:r w:rsidRPr="0077748C">
        <w:rPr>
          <w:b/>
          <w:bCs/>
        </w:rPr>
        <w:tab/>
      </w:r>
      <w:r w:rsidR="00B07542" w:rsidRPr="0077748C">
        <w:rPr>
          <w:b/>
        </w:rPr>
        <w:t>Rational Design:  International Law as Common Expectations</w:t>
      </w:r>
    </w:p>
    <w:p w:rsidR="00B07542" w:rsidRPr="00AB27C9" w:rsidRDefault="00B07542" w:rsidP="00B07542">
      <w:pPr>
        <w:pStyle w:val="ListParagraph"/>
        <w:numPr>
          <w:ilvl w:val="0"/>
          <w:numId w:val="10"/>
        </w:numPr>
      </w:pPr>
      <w:proofErr w:type="spellStart"/>
      <w:r w:rsidRPr="00AB27C9">
        <w:t>Koremenos</w:t>
      </w:r>
      <w:proofErr w:type="spellEnd"/>
      <w:r w:rsidRPr="00AB27C9">
        <w:t xml:space="preserve">, Barbara, Charles Lipson, and Duncan </w:t>
      </w:r>
      <w:proofErr w:type="spellStart"/>
      <w:r w:rsidRPr="00AB27C9">
        <w:t>Snidal</w:t>
      </w:r>
      <w:proofErr w:type="spellEnd"/>
      <w:r w:rsidRPr="00AB27C9">
        <w:t xml:space="preserve">. “The Rational Design of Institutions.” </w:t>
      </w:r>
      <w:r w:rsidRPr="00AB27C9">
        <w:rPr>
          <w:i/>
          <w:iCs/>
        </w:rPr>
        <w:t xml:space="preserve">International Organization </w:t>
      </w:r>
      <w:r w:rsidRPr="00AB27C9">
        <w:t>55 (2001).</w:t>
      </w:r>
    </w:p>
    <w:p w:rsidR="00B07542" w:rsidRPr="00AB27C9" w:rsidRDefault="00B07542" w:rsidP="00B07542">
      <w:pPr>
        <w:pStyle w:val="ListParagraph"/>
        <w:numPr>
          <w:ilvl w:val="0"/>
          <w:numId w:val="10"/>
        </w:numPr>
        <w:rPr>
          <w:b/>
          <w:bCs/>
        </w:rPr>
      </w:pPr>
      <w:r w:rsidRPr="00AB27C9">
        <w:t xml:space="preserve">Kathy </w:t>
      </w:r>
      <w:proofErr w:type="spellStart"/>
      <w:r w:rsidRPr="00AB27C9">
        <w:t>Gilsinan</w:t>
      </w:r>
      <w:proofErr w:type="spellEnd"/>
      <w:r w:rsidRPr="00AB27C9">
        <w:t>. “</w:t>
      </w:r>
      <w:r w:rsidRPr="00AB27C9">
        <w:rPr>
          <w:bCs/>
        </w:rPr>
        <w:t xml:space="preserve">It Wasn’t the Law That Stopped Other Presidents From Killing </w:t>
      </w:r>
      <w:proofErr w:type="spellStart"/>
      <w:r w:rsidRPr="00AB27C9">
        <w:rPr>
          <w:bCs/>
        </w:rPr>
        <w:t>Soleimani</w:t>
      </w:r>
      <w:proofErr w:type="spellEnd"/>
      <w:r w:rsidRPr="00AB27C9">
        <w:rPr>
          <w:bCs/>
        </w:rPr>
        <w:t xml:space="preserve">.” </w:t>
      </w:r>
      <w:r w:rsidRPr="00AB27C9">
        <w:rPr>
          <w:bCs/>
          <w:i/>
        </w:rPr>
        <w:t>The Atlantic</w:t>
      </w:r>
      <w:r w:rsidRPr="00AB27C9">
        <w:rPr>
          <w:bCs/>
        </w:rPr>
        <w:t>. January 4, 2020.</w:t>
      </w:r>
    </w:p>
    <w:p w:rsidR="00C771C4" w:rsidRPr="00AB27C9" w:rsidRDefault="00C771C4"/>
    <w:p w:rsidR="00C771C4" w:rsidRPr="00AB27C9" w:rsidRDefault="00C771C4"/>
    <w:p w:rsidR="00C771C4" w:rsidRPr="00AB27C9" w:rsidRDefault="00B13817" w:rsidP="00C771C4">
      <w:pPr>
        <w:rPr>
          <w:b/>
        </w:rPr>
      </w:pPr>
      <w:r w:rsidRPr="00AB27C9">
        <w:rPr>
          <w:b/>
        </w:rPr>
        <w:t>Feb. 26</w:t>
      </w:r>
      <w:r w:rsidRPr="00AB27C9">
        <w:rPr>
          <w:b/>
        </w:rPr>
        <w:tab/>
      </w:r>
      <w:r w:rsidR="00C771C4" w:rsidRPr="00AB27C9">
        <w:rPr>
          <w:b/>
        </w:rPr>
        <w:t xml:space="preserve">History:  The </w:t>
      </w:r>
      <w:proofErr w:type="spellStart"/>
      <w:r w:rsidR="00C771C4" w:rsidRPr="00AB27C9">
        <w:rPr>
          <w:b/>
        </w:rPr>
        <w:t>Lieber</w:t>
      </w:r>
      <w:proofErr w:type="spellEnd"/>
      <w:r w:rsidR="00C771C4" w:rsidRPr="00AB27C9">
        <w:rPr>
          <w:b/>
        </w:rPr>
        <w:t xml:space="preserve"> Code</w:t>
      </w:r>
    </w:p>
    <w:p w:rsidR="00C771C4" w:rsidRPr="00AB27C9" w:rsidRDefault="00C771C4" w:rsidP="00C771C4">
      <w:pPr>
        <w:pStyle w:val="ListParagraph"/>
        <w:numPr>
          <w:ilvl w:val="0"/>
          <w:numId w:val="18"/>
        </w:numPr>
      </w:pPr>
      <w:r w:rsidRPr="00AB27C9">
        <w:t xml:space="preserve">Witt, </w:t>
      </w:r>
      <w:r w:rsidRPr="00AB27C9">
        <w:rPr>
          <w:i/>
        </w:rPr>
        <w:t>Lincoln’s Code</w:t>
      </w:r>
      <w:r w:rsidR="002D37C3">
        <w:t>:  pp. 16-19,</w:t>
      </w:r>
      <w:r w:rsidRPr="00AB27C9">
        <w:t xml:space="preserve"> Ch. 6</w:t>
      </w:r>
      <w:r w:rsidR="002D37C3">
        <w:t xml:space="preserve"> (pp. 170-196)</w:t>
      </w:r>
      <w:r w:rsidRPr="00AB27C9">
        <w:t>, pp. 229-249</w:t>
      </w:r>
    </w:p>
    <w:p w:rsidR="00C771C4" w:rsidRPr="00AB27C9" w:rsidRDefault="002D37C3" w:rsidP="00C771C4">
      <w:pPr>
        <w:pStyle w:val="ListParagraph"/>
        <w:numPr>
          <w:ilvl w:val="0"/>
          <w:numId w:val="18"/>
        </w:numPr>
      </w:pPr>
      <w:r>
        <w:t xml:space="preserve">[SKIM]  </w:t>
      </w:r>
      <w:r w:rsidR="00C771C4" w:rsidRPr="00AB27C9">
        <w:t>General Orders 100 (see Appendix in Witt)</w:t>
      </w:r>
    </w:p>
    <w:p w:rsidR="002A0947" w:rsidRPr="00AB27C9" w:rsidRDefault="002A0947"/>
    <w:p w:rsidR="00C771C4" w:rsidRPr="00AB27C9" w:rsidRDefault="00C771C4"/>
    <w:p w:rsidR="0011048E" w:rsidRPr="00AB27C9" w:rsidRDefault="00B13817" w:rsidP="0011048E">
      <w:pPr>
        <w:rPr>
          <w:b/>
        </w:rPr>
      </w:pPr>
      <w:r w:rsidRPr="00AB27C9">
        <w:rPr>
          <w:b/>
        </w:rPr>
        <w:t>Mar. 2</w:t>
      </w:r>
      <w:r w:rsidRPr="00AB27C9">
        <w:rPr>
          <w:b/>
        </w:rPr>
        <w:tab/>
      </w:r>
      <w:r w:rsidRPr="00AB27C9">
        <w:rPr>
          <w:b/>
        </w:rPr>
        <w:tab/>
      </w:r>
      <w:r w:rsidR="0011048E" w:rsidRPr="00AB27C9">
        <w:rPr>
          <w:b/>
        </w:rPr>
        <w:t>History:  The Birth of the ICRC</w:t>
      </w:r>
    </w:p>
    <w:p w:rsidR="0011048E" w:rsidRPr="00AB27C9" w:rsidRDefault="0011048E" w:rsidP="0011048E">
      <w:pPr>
        <w:pStyle w:val="ListParagraph"/>
        <w:numPr>
          <w:ilvl w:val="0"/>
          <w:numId w:val="19"/>
        </w:numPr>
      </w:pPr>
      <w:r w:rsidRPr="00AB27C9">
        <w:t>Barnett,</w:t>
      </w:r>
      <w:r w:rsidRPr="00AB27C9">
        <w:rPr>
          <w:i/>
        </w:rPr>
        <w:t xml:space="preserve"> Empire of Humanity: A History of Humanitarianism</w:t>
      </w:r>
      <w:r w:rsidRPr="00AB27C9">
        <w:t xml:space="preserve">. Ithaca: Cornell University Press, 2011. Ch. 4: “Saving Soldiers and Civilians </w:t>
      </w:r>
      <w:proofErr w:type="gramStart"/>
      <w:r w:rsidRPr="00AB27C9">
        <w:t>During</w:t>
      </w:r>
      <w:proofErr w:type="gramEnd"/>
      <w:r w:rsidRPr="00AB27C9">
        <w:t xml:space="preserve"> War.”</w:t>
      </w:r>
    </w:p>
    <w:p w:rsidR="0011048E" w:rsidRPr="00AB27C9" w:rsidRDefault="0011048E" w:rsidP="00CF4125">
      <w:pPr>
        <w:rPr>
          <w:b/>
        </w:rPr>
      </w:pPr>
    </w:p>
    <w:p w:rsidR="0011048E" w:rsidRPr="00AB27C9" w:rsidRDefault="0011048E" w:rsidP="00CF4125">
      <w:pPr>
        <w:rPr>
          <w:b/>
        </w:rPr>
      </w:pPr>
    </w:p>
    <w:p w:rsidR="0011048E" w:rsidRPr="00AB27C9" w:rsidRDefault="00B13817" w:rsidP="0011048E">
      <w:pPr>
        <w:rPr>
          <w:b/>
        </w:rPr>
      </w:pPr>
      <w:r w:rsidRPr="00AB27C9">
        <w:rPr>
          <w:b/>
        </w:rPr>
        <w:t>Mar. 4</w:t>
      </w:r>
      <w:r w:rsidRPr="00AB27C9">
        <w:rPr>
          <w:b/>
        </w:rPr>
        <w:tab/>
      </w:r>
      <w:r w:rsidRPr="00AB27C9">
        <w:rPr>
          <w:b/>
        </w:rPr>
        <w:tab/>
      </w:r>
      <w:r w:rsidR="0011048E" w:rsidRPr="00AB27C9">
        <w:rPr>
          <w:b/>
        </w:rPr>
        <w:t>History:  Negotiating the Law</w:t>
      </w:r>
    </w:p>
    <w:p w:rsidR="0011048E" w:rsidRPr="00AB27C9" w:rsidRDefault="0011048E" w:rsidP="0011048E">
      <w:pPr>
        <w:pStyle w:val="ListParagraph"/>
        <w:numPr>
          <w:ilvl w:val="0"/>
          <w:numId w:val="20"/>
        </w:numPr>
      </w:pPr>
      <w:r w:rsidRPr="00AB27C9">
        <w:t xml:space="preserve">Davis, Calvin </w:t>
      </w:r>
      <w:proofErr w:type="spellStart"/>
      <w:r w:rsidRPr="00AB27C9">
        <w:t>DeArmond</w:t>
      </w:r>
      <w:proofErr w:type="spellEnd"/>
      <w:r w:rsidRPr="00AB27C9">
        <w:t xml:space="preserve">. </w:t>
      </w:r>
      <w:r w:rsidRPr="00AB27C9">
        <w:rPr>
          <w:i/>
        </w:rPr>
        <w:t xml:space="preserve">The United States and the First Hague Peace Conference. </w:t>
      </w:r>
      <w:r w:rsidRPr="00AB27C9">
        <w:t xml:space="preserve">Ithaca:  Cornell University Press, 1962. Ch. III, “The Czar’s </w:t>
      </w:r>
      <w:proofErr w:type="spellStart"/>
      <w:r w:rsidRPr="00AB27C9">
        <w:t>Rescript</w:t>
      </w:r>
      <w:proofErr w:type="spellEnd"/>
      <w:r w:rsidRPr="00AB27C9">
        <w:t>.”</w:t>
      </w:r>
    </w:p>
    <w:p w:rsidR="0011048E" w:rsidRPr="00AB27C9" w:rsidRDefault="0011048E" w:rsidP="0011048E">
      <w:pPr>
        <w:pStyle w:val="ListParagraph"/>
        <w:numPr>
          <w:ilvl w:val="0"/>
          <w:numId w:val="20"/>
        </w:numPr>
      </w:pPr>
      <w:r w:rsidRPr="00AB27C9">
        <w:t xml:space="preserve">Best, Geoffrey. </w:t>
      </w:r>
      <w:r w:rsidRPr="00AB27C9">
        <w:rPr>
          <w:i/>
        </w:rPr>
        <w:t xml:space="preserve">War &amp; Law </w:t>
      </w:r>
      <w:proofErr w:type="gramStart"/>
      <w:r w:rsidRPr="00AB27C9">
        <w:rPr>
          <w:i/>
        </w:rPr>
        <w:t>Since</w:t>
      </w:r>
      <w:proofErr w:type="gramEnd"/>
      <w:r w:rsidRPr="00AB27C9">
        <w:rPr>
          <w:i/>
        </w:rPr>
        <w:t xml:space="preserve"> 1945</w:t>
      </w:r>
      <w:r w:rsidRPr="00AB27C9">
        <w:t xml:space="preserve">. Oxford: Clarendon Press, 1994. </w:t>
      </w:r>
      <w:proofErr w:type="spellStart"/>
      <w:r w:rsidRPr="00AB27C9">
        <w:t>Chs</w:t>
      </w:r>
      <w:proofErr w:type="spellEnd"/>
      <w:r w:rsidRPr="00AB27C9">
        <w:t>. 4: “The Geneva Conventions of 1949.”</w:t>
      </w:r>
    </w:p>
    <w:p w:rsidR="00A97FD3" w:rsidRPr="00AB27C9" w:rsidRDefault="00A97FD3"/>
    <w:p w:rsidR="00670DC8" w:rsidRPr="00AB27C9" w:rsidRDefault="00670DC8"/>
    <w:p w:rsidR="00B13817" w:rsidRPr="00AB27C9" w:rsidRDefault="00FB0ABA" w:rsidP="00EB4328">
      <w:pPr>
        <w:jc w:val="center"/>
        <w:rPr>
          <w:i/>
        </w:rPr>
      </w:pPr>
      <w:r>
        <w:rPr>
          <w:i/>
        </w:rPr>
        <w:t>Spring Break – Mar. 9,</w:t>
      </w:r>
      <w:r w:rsidR="00B13817" w:rsidRPr="00AB27C9">
        <w:rPr>
          <w:i/>
        </w:rPr>
        <w:t xml:space="preserve"> 11</w:t>
      </w:r>
      <w:r>
        <w:rPr>
          <w:i/>
        </w:rPr>
        <w:t>, 16</w:t>
      </w:r>
    </w:p>
    <w:p w:rsidR="00623995" w:rsidRPr="00AB27C9" w:rsidRDefault="00623995"/>
    <w:p w:rsidR="00623995" w:rsidRPr="00AB27C9" w:rsidRDefault="00623995"/>
    <w:p w:rsidR="009F1420" w:rsidRPr="00AB27C9" w:rsidRDefault="00B13817" w:rsidP="009F1420">
      <w:pPr>
        <w:rPr>
          <w:b/>
        </w:rPr>
      </w:pPr>
      <w:r w:rsidRPr="00AB27C9">
        <w:rPr>
          <w:b/>
        </w:rPr>
        <w:t>Mar. 18</w:t>
      </w:r>
      <w:r w:rsidRPr="00AB27C9">
        <w:rPr>
          <w:b/>
        </w:rPr>
        <w:tab/>
      </w:r>
      <w:r w:rsidR="009F1420" w:rsidRPr="00AB27C9">
        <w:rPr>
          <w:b/>
        </w:rPr>
        <w:t>Compliance and Counterfactuals</w:t>
      </w:r>
    </w:p>
    <w:p w:rsidR="009F1420" w:rsidRPr="00AB27C9" w:rsidRDefault="009F1420" w:rsidP="009F1420">
      <w:pPr>
        <w:pStyle w:val="ListParagraph"/>
        <w:numPr>
          <w:ilvl w:val="0"/>
          <w:numId w:val="10"/>
        </w:numPr>
      </w:pPr>
      <w:proofErr w:type="spellStart"/>
      <w:r w:rsidRPr="00AB27C9">
        <w:lastRenderedPageBreak/>
        <w:t>Fearon</w:t>
      </w:r>
      <w:proofErr w:type="spellEnd"/>
      <w:r w:rsidRPr="00AB27C9">
        <w:t>, James. “Counterfactuals and Hypothesis Testing in Political Science.”</w:t>
      </w:r>
      <w:r w:rsidRPr="00AB27C9">
        <w:br/>
      </w:r>
      <w:r w:rsidRPr="00AB27C9">
        <w:rPr>
          <w:i/>
          <w:iCs/>
        </w:rPr>
        <w:t xml:space="preserve">World Politics </w:t>
      </w:r>
      <w:r w:rsidRPr="00AB27C9">
        <w:t>43:2 (January 1991), 169-95</w:t>
      </w:r>
    </w:p>
    <w:p w:rsidR="009F1420" w:rsidRPr="00AB27C9" w:rsidRDefault="009F1420" w:rsidP="009F1420">
      <w:pPr>
        <w:pStyle w:val="ListParagraph"/>
        <w:numPr>
          <w:ilvl w:val="0"/>
          <w:numId w:val="10"/>
        </w:numPr>
      </w:pPr>
      <w:proofErr w:type="spellStart"/>
      <w:r w:rsidRPr="00AB27C9">
        <w:t>Henkin</w:t>
      </w:r>
      <w:proofErr w:type="spellEnd"/>
      <w:r w:rsidRPr="00AB27C9">
        <w:t xml:space="preserve">, Louis. 1979. </w:t>
      </w:r>
      <w:r w:rsidRPr="00AB27C9">
        <w:rPr>
          <w:i/>
          <w:iCs/>
        </w:rPr>
        <w:t>How Nations Behave</w:t>
      </w:r>
      <w:r w:rsidRPr="00AB27C9">
        <w:t>. New York: Council on Foreign</w:t>
      </w:r>
      <w:r w:rsidRPr="00AB27C9">
        <w:br/>
        <w:t>Relations. Ch. 3: “The Politics of Law Observance.”</w:t>
      </w:r>
    </w:p>
    <w:p w:rsidR="003C2668" w:rsidRPr="00AB27C9" w:rsidRDefault="003C2668" w:rsidP="009F1420">
      <w:pPr>
        <w:rPr>
          <w:b/>
        </w:rPr>
      </w:pPr>
    </w:p>
    <w:p w:rsidR="00A97FD3" w:rsidRPr="00AB27C9" w:rsidRDefault="00A97FD3"/>
    <w:p w:rsidR="009F1420" w:rsidRPr="00AB27C9" w:rsidRDefault="00B13817" w:rsidP="009F1420">
      <w:pPr>
        <w:rPr>
          <w:b/>
          <w:bCs/>
        </w:rPr>
      </w:pPr>
      <w:r w:rsidRPr="00AB27C9">
        <w:rPr>
          <w:b/>
        </w:rPr>
        <w:t>Mar. 23</w:t>
      </w:r>
      <w:r w:rsidRPr="00AB27C9">
        <w:rPr>
          <w:b/>
        </w:rPr>
        <w:tab/>
      </w:r>
      <w:r w:rsidR="009F1420" w:rsidRPr="00AB27C9">
        <w:rPr>
          <w:b/>
          <w:bCs/>
        </w:rPr>
        <w:t>Understanding compliance, continued</w:t>
      </w:r>
    </w:p>
    <w:p w:rsidR="009F1420" w:rsidRPr="00AB27C9" w:rsidRDefault="009F1420" w:rsidP="009F1420">
      <w:pPr>
        <w:pStyle w:val="ListParagraph"/>
        <w:numPr>
          <w:ilvl w:val="0"/>
          <w:numId w:val="13"/>
        </w:numPr>
      </w:pPr>
      <w:r w:rsidRPr="00AB27C9">
        <w:t xml:space="preserve">Carpenter, R. </w:t>
      </w:r>
      <w:proofErr w:type="spellStart"/>
      <w:r w:rsidRPr="00AB27C9">
        <w:t>Charli</w:t>
      </w:r>
      <w:proofErr w:type="spellEnd"/>
      <w:r w:rsidRPr="00AB27C9">
        <w:t>. “’Women and Children First’: Gender, Norms, and</w:t>
      </w:r>
      <w:r w:rsidRPr="00AB27C9">
        <w:br/>
        <w:t xml:space="preserve">Humanitarian Evacuation in the Balkans, 1991-1995.” </w:t>
      </w:r>
      <w:r w:rsidRPr="00AB27C9">
        <w:rPr>
          <w:i/>
          <w:iCs/>
        </w:rPr>
        <w:t>International Organization</w:t>
      </w:r>
      <w:r w:rsidRPr="00AB27C9">
        <w:rPr>
          <w:i/>
          <w:iCs/>
        </w:rPr>
        <w:br/>
      </w:r>
      <w:r w:rsidRPr="00AB27C9">
        <w:t>57: 4 (</w:t>
      </w:r>
      <w:proofErr w:type="gramStart"/>
      <w:r w:rsidRPr="00AB27C9">
        <w:t>Autumn</w:t>
      </w:r>
      <w:proofErr w:type="gramEnd"/>
      <w:r w:rsidRPr="00AB27C9">
        <w:t xml:space="preserve"> 2003), pp. 661-694.</w:t>
      </w:r>
    </w:p>
    <w:p w:rsidR="009F1420" w:rsidRPr="006B7FDE" w:rsidRDefault="009F1420" w:rsidP="009F1420">
      <w:pPr>
        <w:pStyle w:val="ListParagraph"/>
        <w:numPr>
          <w:ilvl w:val="0"/>
          <w:numId w:val="13"/>
        </w:numPr>
      </w:pPr>
      <w:r w:rsidRPr="006B7FDE">
        <w:t>Lewis, Jeffrey G. and Scott Sagan. “The Nuclear Necessity Principle: Making US</w:t>
      </w:r>
      <w:r w:rsidRPr="006B7FDE">
        <w:br/>
        <w:t xml:space="preserve">Targeting Policy Conform </w:t>
      </w:r>
      <w:proofErr w:type="gramStart"/>
      <w:r w:rsidRPr="006B7FDE">
        <w:t>with</w:t>
      </w:r>
      <w:proofErr w:type="gramEnd"/>
      <w:r w:rsidRPr="006B7FDE">
        <w:t xml:space="preserve"> Ethics &amp; the Laws of War.” </w:t>
      </w:r>
      <w:proofErr w:type="spellStart"/>
      <w:r w:rsidRPr="006B7FDE">
        <w:rPr>
          <w:i/>
          <w:iCs/>
        </w:rPr>
        <w:t>Daedalus</w:t>
      </w:r>
      <w:proofErr w:type="spellEnd"/>
      <w:r w:rsidRPr="006B7FDE">
        <w:t>, Fall 2016</w:t>
      </w:r>
      <w:proofErr w:type="gramStart"/>
      <w:r w:rsidRPr="006B7FDE">
        <w:t>,</w:t>
      </w:r>
      <w:proofErr w:type="gramEnd"/>
      <w:r w:rsidRPr="006B7FDE">
        <w:br/>
        <w:t>pp. 62-74.</w:t>
      </w:r>
    </w:p>
    <w:p w:rsidR="00144B9C" w:rsidRPr="00AB27C9" w:rsidRDefault="00144B9C" w:rsidP="009F1420">
      <w:pPr>
        <w:rPr>
          <w:b/>
        </w:rPr>
      </w:pPr>
    </w:p>
    <w:p w:rsidR="00304DBB" w:rsidRPr="00AB27C9" w:rsidRDefault="00304DBB" w:rsidP="00304DBB"/>
    <w:p w:rsidR="009F1420" w:rsidRPr="00AB27C9" w:rsidRDefault="00B13817" w:rsidP="009F1420">
      <w:pPr>
        <w:rPr>
          <w:b/>
        </w:rPr>
      </w:pPr>
      <w:r w:rsidRPr="00AB27C9">
        <w:rPr>
          <w:b/>
        </w:rPr>
        <w:t>Mar. 25</w:t>
      </w:r>
      <w:r w:rsidRPr="00AB27C9">
        <w:rPr>
          <w:b/>
        </w:rPr>
        <w:tab/>
      </w:r>
      <w:r w:rsidR="009F1420" w:rsidRPr="00AB27C9">
        <w:rPr>
          <w:b/>
        </w:rPr>
        <w:t>Variation in Compliance: Civilian Targeting and Treatment of Prisoners</w:t>
      </w:r>
    </w:p>
    <w:p w:rsidR="009F1420" w:rsidRPr="00AB27C9" w:rsidRDefault="009F1420" w:rsidP="009F1420">
      <w:pPr>
        <w:pStyle w:val="ListParagraph"/>
        <w:numPr>
          <w:ilvl w:val="0"/>
          <w:numId w:val="23"/>
        </w:numPr>
      </w:pPr>
      <w:r w:rsidRPr="00AB27C9">
        <w:t xml:space="preserve">Valentino, Benjamin, Paul </w:t>
      </w:r>
      <w:proofErr w:type="spellStart"/>
      <w:r w:rsidRPr="00AB27C9">
        <w:t>Huth</w:t>
      </w:r>
      <w:proofErr w:type="spellEnd"/>
      <w:r w:rsidRPr="00AB27C9">
        <w:t xml:space="preserve">, and Sarah </w:t>
      </w:r>
      <w:proofErr w:type="spellStart"/>
      <w:r w:rsidRPr="00AB27C9">
        <w:t>Croco</w:t>
      </w:r>
      <w:proofErr w:type="spellEnd"/>
      <w:r w:rsidRPr="00AB27C9">
        <w:t xml:space="preserve">. “Covenants without the Sword: International Law and the Protection of Civilians in Times of War.” </w:t>
      </w:r>
      <w:r w:rsidRPr="00AB27C9">
        <w:rPr>
          <w:i/>
        </w:rPr>
        <w:t>World Politics</w:t>
      </w:r>
      <w:r w:rsidRPr="00AB27C9">
        <w:t xml:space="preserve"> 58:3 (2006), pp. 339-377.</w:t>
      </w:r>
    </w:p>
    <w:p w:rsidR="009F1420" w:rsidRDefault="009F1420" w:rsidP="009F1420">
      <w:pPr>
        <w:pStyle w:val="ListParagraph"/>
        <w:numPr>
          <w:ilvl w:val="0"/>
          <w:numId w:val="23"/>
        </w:numPr>
      </w:pPr>
      <w:r w:rsidRPr="00AB27C9">
        <w:t xml:space="preserve">Wallace, Geoffrey P.R. 2012. “Welcome Guests, or Inescapable Victims? The Causes of Prisoner Abuse in War.” </w:t>
      </w:r>
      <w:r w:rsidRPr="00AB27C9">
        <w:rPr>
          <w:i/>
        </w:rPr>
        <w:t>Journal of Conflict Resolution</w:t>
      </w:r>
      <w:r w:rsidRPr="00AB27C9">
        <w:t xml:space="preserve"> 56(2): 955-981.</w:t>
      </w:r>
    </w:p>
    <w:p w:rsidR="009F1420" w:rsidRPr="00AB27C9" w:rsidRDefault="009F1420" w:rsidP="009F1420">
      <w:pPr>
        <w:pStyle w:val="ListParagraph"/>
        <w:numPr>
          <w:ilvl w:val="0"/>
          <w:numId w:val="23"/>
        </w:numPr>
      </w:pPr>
      <w:r>
        <w:t>WATCH:  “SPR 1.mpg” (available in “Files” on Canvas).</w:t>
      </w:r>
    </w:p>
    <w:p w:rsidR="00D272D8" w:rsidRDefault="00D272D8" w:rsidP="009F1420"/>
    <w:p w:rsidR="001B50E3" w:rsidRDefault="001B50E3" w:rsidP="00D272D8"/>
    <w:p w:rsidR="00E037BE" w:rsidRPr="001B50E3" w:rsidRDefault="001B50E3" w:rsidP="001B50E3">
      <w:pPr>
        <w:jc w:val="center"/>
        <w:rPr>
          <w:i/>
        </w:rPr>
      </w:pPr>
      <w:r w:rsidRPr="001B50E3">
        <w:rPr>
          <w:i/>
        </w:rPr>
        <w:t xml:space="preserve">Mar. 30 </w:t>
      </w:r>
      <w:r w:rsidR="00CB58E8">
        <w:rPr>
          <w:i/>
        </w:rPr>
        <w:t xml:space="preserve">&amp; Apr. 1 </w:t>
      </w:r>
      <w:r w:rsidRPr="001B50E3">
        <w:rPr>
          <w:i/>
        </w:rPr>
        <w:t>– No Class</w:t>
      </w:r>
    </w:p>
    <w:p w:rsidR="00AB4F80" w:rsidRDefault="00AB4F80"/>
    <w:p w:rsidR="003A0FB6" w:rsidRPr="00AB27C9" w:rsidRDefault="003A0FB6"/>
    <w:p w:rsidR="00CB58E8" w:rsidRPr="00AB27C9" w:rsidRDefault="00B13817" w:rsidP="00CB58E8">
      <w:pPr>
        <w:rPr>
          <w:b/>
        </w:rPr>
      </w:pPr>
      <w:r w:rsidRPr="00AB27C9">
        <w:rPr>
          <w:b/>
        </w:rPr>
        <w:t>Apr. 6</w:t>
      </w:r>
      <w:r w:rsidRPr="00AB27C9">
        <w:rPr>
          <w:b/>
        </w:rPr>
        <w:tab/>
      </w:r>
      <w:r w:rsidRPr="00AB27C9">
        <w:rPr>
          <w:b/>
        </w:rPr>
        <w:tab/>
      </w:r>
      <w:r w:rsidR="00CB58E8" w:rsidRPr="00AB27C9">
        <w:rPr>
          <w:b/>
        </w:rPr>
        <w:t>Tactical Decision Game</w:t>
      </w:r>
    </w:p>
    <w:p w:rsidR="00CB58E8" w:rsidRPr="00AB27C9" w:rsidRDefault="00CB58E8" w:rsidP="00CB58E8">
      <w:pPr>
        <w:pStyle w:val="ListParagraph"/>
        <w:numPr>
          <w:ilvl w:val="0"/>
          <w:numId w:val="23"/>
        </w:numPr>
      </w:pPr>
      <w:r>
        <w:t>Carefully read the TDG Background and conduct any additional reading or research you need to understand military unit sizes, weapon system capabilities, and basic ground warfare tactics and operations.  Your troops will die if you fail.</w:t>
      </w:r>
    </w:p>
    <w:p w:rsidR="00B74748" w:rsidRPr="00AB27C9" w:rsidRDefault="00B74748" w:rsidP="00144B9C"/>
    <w:p w:rsidR="008A56E6" w:rsidRPr="00AB27C9" w:rsidRDefault="008A56E6"/>
    <w:p w:rsidR="00CB58E8" w:rsidRPr="00AB27C9" w:rsidRDefault="00B13817" w:rsidP="00CB58E8">
      <w:pPr>
        <w:rPr>
          <w:b/>
        </w:rPr>
      </w:pPr>
      <w:r w:rsidRPr="00AB27C9">
        <w:rPr>
          <w:b/>
        </w:rPr>
        <w:t>Apr. 8</w:t>
      </w:r>
      <w:r w:rsidR="00032EB7" w:rsidRPr="00AB27C9">
        <w:rPr>
          <w:b/>
        </w:rPr>
        <w:t xml:space="preserve"> </w:t>
      </w:r>
      <w:r w:rsidR="00032EB7" w:rsidRPr="00AB27C9">
        <w:rPr>
          <w:b/>
        </w:rPr>
        <w:tab/>
      </w:r>
      <w:r w:rsidR="00032EB7" w:rsidRPr="00AB27C9">
        <w:rPr>
          <w:b/>
        </w:rPr>
        <w:tab/>
      </w:r>
      <w:r w:rsidR="00CB58E8" w:rsidRPr="00AB27C9">
        <w:rPr>
          <w:b/>
        </w:rPr>
        <w:t>When Will Belligerents in Civil Conflict Comply with the Law of War?</w:t>
      </w:r>
    </w:p>
    <w:p w:rsidR="00CB58E8" w:rsidRDefault="00CB58E8" w:rsidP="00CB58E8">
      <w:pPr>
        <w:pStyle w:val="ListParagraph"/>
        <w:numPr>
          <w:ilvl w:val="0"/>
          <w:numId w:val="24"/>
        </w:numPr>
      </w:pPr>
      <w:proofErr w:type="spellStart"/>
      <w:r w:rsidRPr="00AB27C9">
        <w:t>Andreopoulos</w:t>
      </w:r>
      <w:proofErr w:type="spellEnd"/>
      <w:r w:rsidRPr="00AB27C9">
        <w:t xml:space="preserve">, George J. “The Age of National Liberation Movements,” in Michael Howard </w:t>
      </w:r>
      <w:proofErr w:type="gramStart"/>
      <w:r w:rsidRPr="00AB27C9">
        <w:t>et</w:t>
      </w:r>
      <w:proofErr w:type="gramEnd"/>
      <w:r w:rsidRPr="00AB27C9">
        <w:t xml:space="preserve">. </w:t>
      </w:r>
      <w:proofErr w:type="gramStart"/>
      <w:r w:rsidRPr="00AB27C9">
        <w:t>al</w:t>
      </w:r>
      <w:proofErr w:type="gramEnd"/>
      <w:r w:rsidRPr="00AB27C9">
        <w:t>, eds. The Laws of War: Constraints on Warfare in the Western World.</w:t>
      </w:r>
    </w:p>
    <w:p w:rsidR="00CB58E8" w:rsidRPr="006E4EEA" w:rsidRDefault="00CB58E8" w:rsidP="00CB58E8">
      <w:pPr>
        <w:pStyle w:val="ListParagraph"/>
        <w:numPr>
          <w:ilvl w:val="0"/>
          <w:numId w:val="24"/>
        </w:numPr>
      </w:pPr>
      <w:r w:rsidRPr="00AB27C9">
        <w:t>Common Article 3 of 1949 Geneva Conventions. Additional Protocol II to the 1949 Geneva Conventions.</w:t>
      </w:r>
    </w:p>
    <w:p w:rsidR="00960627" w:rsidRPr="00AB27C9" w:rsidRDefault="00960627" w:rsidP="00CB58E8"/>
    <w:p w:rsidR="00992CB1" w:rsidRPr="00AB27C9" w:rsidRDefault="00992CB1" w:rsidP="006F1B99"/>
    <w:p w:rsidR="00D83836" w:rsidRPr="00AB27C9" w:rsidRDefault="00D83836"/>
    <w:p w:rsidR="00CB58E8" w:rsidRPr="00AB27C9" w:rsidRDefault="00B13817" w:rsidP="00CB58E8">
      <w:pPr>
        <w:rPr>
          <w:b/>
          <w:i/>
        </w:rPr>
      </w:pPr>
      <w:r w:rsidRPr="00AB27C9">
        <w:rPr>
          <w:b/>
        </w:rPr>
        <w:t>Apr. 13</w:t>
      </w:r>
      <w:r w:rsidRPr="00AB27C9">
        <w:rPr>
          <w:b/>
        </w:rPr>
        <w:tab/>
      </w:r>
      <w:proofErr w:type="spellStart"/>
      <w:r w:rsidR="00CB58E8" w:rsidRPr="00AB27C9">
        <w:rPr>
          <w:b/>
          <w:i/>
        </w:rPr>
        <w:t>Malum</w:t>
      </w:r>
      <w:proofErr w:type="spellEnd"/>
      <w:r w:rsidR="00CB58E8" w:rsidRPr="00AB27C9">
        <w:rPr>
          <w:b/>
          <w:i/>
        </w:rPr>
        <w:t xml:space="preserve"> </w:t>
      </w:r>
      <w:proofErr w:type="gramStart"/>
      <w:r w:rsidR="00CB58E8" w:rsidRPr="00AB27C9">
        <w:rPr>
          <w:b/>
          <w:i/>
        </w:rPr>
        <w:t>In</w:t>
      </w:r>
      <w:proofErr w:type="gramEnd"/>
      <w:r w:rsidR="00CB58E8" w:rsidRPr="00AB27C9">
        <w:rPr>
          <w:b/>
          <w:i/>
        </w:rPr>
        <w:t xml:space="preserve"> Se </w:t>
      </w:r>
      <w:r w:rsidR="00CB58E8" w:rsidRPr="00AB27C9">
        <w:rPr>
          <w:b/>
        </w:rPr>
        <w:t>– Nuclear and Chemical Weapons</w:t>
      </w:r>
    </w:p>
    <w:p w:rsidR="00CB58E8" w:rsidRPr="00AB27C9" w:rsidRDefault="00CB58E8" w:rsidP="00CB58E8">
      <w:pPr>
        <w:pStyle w:val="ListParagraph"/>
        <w:numPr>
          <w:ilvl w:val="0"/>
          <w:numId w:val="22"/>
        </w:numPr>
      </w:pPr>
      <w:proofErr w:type="spellStart"/>
      <w:r w:rsidRPr="00AB27C9">
        <w:t>Tannenwald</w:t>
      </w:r>
      <w:proofErr w:type="spellEnd"/>
      <w:r w:rsidRPr="00AB27C9">
        <w:t xml:space="preserve">, Nina. “The Nuclear Taboo: The United States and the Normative Basis of Nuclear Non-Use.” </w:t>
      </w:r>
      <w:r w:rsidRPr="00AB27C9">
        <w:rPr>
          <w:i/>
        </w:rPr>
        <w:t>International Organization</w:t>
      </w:r>
      <w:r w:rsidRPr="00AB27C9">
        <w:t xml:space="preserve"> 53: 3. 1999.</w:t>
      </w:r>
    </w:p>
    <w:p w:rsidR="00CB58E8" w:rsidRPr="00AB27C9" w:rsidRDefault="00CB58E8" w:rsidP="00CB58E8">
      <w:pPr>
        <w:pStyle w:val="ListParagraph"/>
        <w:numPr>
          <w:ilvl w:val="0"/>
          <w:numId w:val="22"/>
        </w:numPr>
      </w:pPr>
      <w:proofErr w:type="spellStart"/>
      <w:r w:rsidRPr="00AB27C9">
        <w:t>Walzer</w:t>
      </w:r>
      <w:proofErr w:type="spellEnd"/>
      <w:r w:rsidRPr="00AB27C9">
        <w:t>, Chapter 16, Section:  “The Limits of Calculation”</w:t>
      </w:r>
    </w:p>
    <w:p w:rsidR="001F4E80" w:rsidRPr="00AB27C9" w:rsidRDefault="001F4E80"/>
    <w:p w:rsidR="00F20180" w:rsidRPr="00AB27C9" w:rsidRDefault="00F20180"/>
    <w:p w:rsidR="006D65A7" w:rsidRPr="00AB27C9" w:rsidRDefault="00B13817" w:rsidP="006D65A7">
      <w:pPr>
        <w:rPr>
          <w:b/>
          <w:i/>
        </w:rPr>
      </w:pPr>
      <w:r w:rsidRPr="00AB27C9">
        <w:rPr>
          <w:b/>
        </w:rPr>
        <w:t>Apr. 15</w:t>
      </w:r>
      <w:r w:rsidR="00E20878" w:rsidRPr="00AB27C9">
        <w:rPr>
          <w:b/>
        </w:rPr>
        <w:tab/>
      </w:r>
      <w:r w:rsidR="006D65A7" w:rsidRPr="00AB27C9">
        <w:rPr>
          <w:b/>
        </w:rPr>
        <w:t xml:space="preserve">Jus </w:t>
      </w:r>
      <w:proofErr w:type="gramStart"/>
      <w:r w:rsidR="006D65A7" w:rsidRPr="00AB27C9">
        <w:rPr>
          <w:b/>
        </w:rPr>
        <w:t>In</w:t>
      </w:r>
      <w:proofErr w:type="gramEnd"/>
      <w:r w:rsidR="006D65A7" w:rsidRPr="00AB27C9">
        <w:rPr>
          <w:b/>
        </w:rPr>
        <w:t xml:space="preserve"> Bello against Terrorism</w:t>
      </w:r>
    </w:p>
    <w:p w:rsidR="006D65A7" w:rsidRPr="00AB27C9" w:rsidRDefault="006D65A7" w:rsidP="006D65A7">
      <w:pPr>
        <w:pStyle w:val="ListParagraph"/>
        <w:numPr>
          <w:ilvl w:val="0"/>
          <w:numId w:val="25"/>
        </w:numPr>
      </w:pPr>
      <w:proofErr w:type="spellStart"/>
      <w:r w:rsidRPr="006E4EEA">
        <w:t>Sitaraman</w:t>
      </w:r>
      <w:proofErr w:type="spellEnd"/>
      <w:r w:rsidRPr="006E4EEA">
        <w:t xml:space="preserve">, </w:t>
      </w:r>
      <w:proofErr w:type="spellStart"/>
      <w:r w:rsidRPr="006E4EEA">
        <w:t>Ganesh</w:t>
      </w:r>
      <w:proofErr w:type="spellEnd"/>
      <w:r w:rsidRPr="006E4EEA">
        <w:t xml:space="preserve">. “Counterinsurgency, </w:t>
      </w:r>
      <w:proofErr w:type="gramStart"/>
      <w:r w:rsidRPr="006E4EEA">
        <w:t>The</w:t>
      </w:r>
      <w:proofErr w:type="gramEnd"/>
      <w:r w:rsidRPr="006E4EEA">
        <w:t xml:space="preserve"> War on Terror, and The Laws of War.” </w:t>
      </w:r>
      <w:r w:rsidRPr="006D65A7">
        <w:rPr>
          <w:i/>
        </w:rPr>
        <w:t>The University of Virginia Law Review</w:t>
      </w:r>
      <w:r w:rsidRPr="006E4EEA">
        <w:t xml:space="preserve"> 95(7), November 2009.</w:t>
      </w:r>
    </w:p>
    <w:p w:rsidR="00DA0E1F" w:rsidRPr="00AB27C9" w:rsidRDefault="00DA0E1F">
      <w:pPr>
        <w:rPr>
          <w:i/>
        </w:rPr>
      </w:pPr>
    </w:p>
    <w:p w:rsidR="00E20878" w:rsidRPr="00AB27C9" w:rsidRDefault="00E20878"/>
    <w:p w:rsidR="006D65A7" w:rsidRPr="00AB27C9" w:rsidRDefault="00B13817" w:rsidP="006D65A7">
      <w:pPr>
        <w:rPr>
          <w:b/>
        </w:rPr>
      </w:pPr>
      <w:r w:rsidRPr="00AB27C9">
        <w:rPr>
          <w:b/>
        </w:rPr>
        <w:t>Apr. 20</w:t>
      </w:r>
      <w:r w:rsidRPr="00AB27C9">
        <w:rPr>
          <w:b/>
        </w:rPr>
        <w:tab/>
      </w:r>
      <w:r w:rsidR="006D65A7" w:rsidRPr="00AB27C9">
        <w:rPr>
          <w:b/>
        </w:rPr>
        <w:t xml:space="preserve">Jus </w:t>
      </w:r>
      <w:proofErr w:type="gramStart"/>
      <w:r w:rsidR="006D65A7" w:rsidRPr="00AB27C9">
        <w:rPr>
          <w:b/>
        </w:rPr>
        <w:t>In</w:t>
      </w:r>
      <w:proofErr w:type="gramEnd"/>
      <w:r w:rsidR="006D65A7" w:rsidRPr="00AB27C9">
        <w:rPr>
          <w:b/>
        </w:rPr>
        <w:t xml:space="preserve"> Bello:  Torture</w:t>
      </w:r>
    </w:p>
    <w:p w:rsidR="00151BAD" w:rsidRPr="00151BAD" w:rsidRDefault="006D65A7" w:rsidP="00151BAD">
      <w:pPr>
        <w:pStyle w:val="ListParagraph"/>
        <w:numPr>
          <w:ilvl w:val="0"/>
          <w:numId w:val="25"/>
        </w:numPr>
      </w:pPr>
      <w:r w:rsidRPr="00AB27C9">
        <w:t xml:space="preserve">Office of Legal Counsel, U.S. Department of Justice, “Memorandum for Alberto R. Gonzales.” August 1, 2002.  </w:t>
      </w:r>
      <w:hyperlink r:id="rId27" w:history="1">
        <w:r w:rsidRPr="00AB27C9">
          <w:rPr>
            <w:rStyle w:val="Hyperlink"/>
          </w:rPr>
          <w:t>https://nsarchive2.gwu.edu/NSAEBB/NSAEBB127/02.08.01.pdf</w:t>
        </w:r>
      </w:hyperlink>
      <w:r w:rsidR="00151BAD">
        <w:t xml:space="preserve">.  </w:t>
      </w:r>
      <w:r w:rsidR="00151BAD" w:rsidRPr="00151BAD">
        <w:t>Read:</w:t>
      </w:r>
    </w:p>
    <w:p w:rsidR="00151BAD" w:rsidRPr="00151BAD" w:rsidRDefault="007C5775" w:rsidP="00151BAD">
      <w:pPr>
        <w:pStyle w:val="ListParagraph"/>
        <w:numPr>
          <w:ilvl w:val="1"/>
          <w:numId w:val="25"/>
        </w:numPr>
      </w:pPr>
      <w:r w:rsidRPr="00151BAD">
        <w:t>Section I, “18 U.S.C. 2340-2340A, pp. 2-</w:t>
      </w:r>
      <w:r w:rsidR="00151BAD" w:rsidRPr="00151BAD">
        <w:t>8.</w:t>
      </w:r>
    </w:p>
    <w:p w:rsidR="00602C34" w:rsidRPr="00151BAD" w:rsidRDefault="007C5775" w:rsidP="00151BAD">
      <w:pPr>
        <w:pStyle w:val="ListParagraph"/>
        <w:numPr>
          <w:ilvl w:val="1"/>
          <w:numId w:val="25"/>
        </w:numPr>
      </w:pPr>
      <w:r w:rsidRPr="00151BAD">
        <w:t>Conclusion, p. 46.</w:t>
      </w:r>
    </w:p>
    <w:p w:rsidR="00151BAD" w:rsidRDefault="00151BAD" w:rsidP="00151BAD">
      <w:pPr>
        <w:pStyle w:val="ListParagraph"/>
        <w:numPr>
          <w:ilvl w:val="0"/>
          <w:numId w:val="25"/>
        </w:numPr>
      </w:pPr>
      <w:proofErr w:type="spellStart"/>
      <w:r>
        <w:t>Schiemann</w:t>
      </w:r>
      <w:proofErr w:type="spellEnd"/>
      <w:r>
        <w:t xml:space="preserve">, John. “Interrogational Torture: Or How Good Guys Get Bad Information with Ugly Methods.” </w:t>
      </w:r>
      <w:r w:rsidRPr="00151BAD">
        <w:rPr>
          <w:i/>
        </w:rPr>
        <w:t>Political Research Quarterly</w:t>
      </w:r>
      <w:r>
        <w:t>. 65:1.  Read:</w:t>
      </w:r>
    </w:p>
    <w:p w:rsidR="00151BAD" w:rsidRDefault="00151BAD" w:rsidP="00151BAD">
      <w:pPr>
        <w:pStyle w:val="ListParagraph"/>
        <w:numPr>
          <w:ilvl w:val="1"/>
          <w:numId w:val="25"/>
        </w:numPr>
      </w:pPr>
      <w:r>
        <w:t>Intro and “A Normative Model of Interrogational Torture”, pp. 3-5.</w:t>
      </w:r>
    </w:p>
    <w:p w:rsidR="00151BAD" w:rsidRDefault="00151BAD" w:rsidP="00151BAD">
      <w:pPr>
        <w:pStyle w:val="ListParagraph"/>
        <w:numPr>
          <w:ilvl w:val="1"/>
          <w:numId w:val="25"/>
        </w:numPr>
      </w:pPr>
      <w:r>
        <w:t>SKIM pp. 5-15.  This will be hard, so understand as best as possible Propositions 2-4 and Table 2.</w:t>
      </w:r>
    </w:p>
    <w:p w:rsidR="00151BAD" w:rsidRDefault="00151BAD" w:rsidP="00151BAD">
      <w:pPr>
        <w:pStyle w:val="ListParagraph"/>
        <w:numPr>
          <w:ilvl w:val="1"/>
          <w:numId w:val="25"/>
        </w:numPr>
      </w:pPr>
      <w:r>
        <w:t>Read Conclusion, pp. 15-16.</w:t>
      </w:r>
    </w:p>
    <w:p w:rsidR="006D65A7" w:rsidRPr="001E12C2" w:rsidRDefault="006D65A7" w:rsidP="006D65A7">
      <w:pPr>
        <w:pStyle w:val="ListParagraph"/>
        <w:numPr>
          <w:ilvl w:val="0"/>
          <w:numId w:val="25"/>
        </w:numPr>
      </w:pPr>
      <w:r>
        <w:t>WATCH:  “ZD30 1.mpg” and “ZD30 2.mpg” (available in “Files” on Canvas).</w:t>
      </w:r>
    </w:p>
    <w:p w:rsidR="001F4E80" w:rsidRPr="00AB27C9" w:rsidRDefault="001F4E80"/>
    <w:p w:rsidR="00EA7168" w:rsidRPr="00AB27C9" w:rsidRDefault="00EA7168"/>
    <w:p w:rsidR="006D65A7" w:rsidRPr="00AB27C9" w:rsidRDefault="00B13817" w:rsidP="006D65A7">
      <w:pPr>
        <w:rPr>
          <w:b/>
          <w:i/>
        </w:rPr>
      </w:pPr>
      <w:r w:rsidRPr="00AB27C9">
        <w:rPr>
          <w:b/>
        </w:rPr>
        <w:t>Apr. 22</w:t>
      </w:r>
      <w:r w:rsidR="000B179D" w:rsidRPr="00AB27C9">
        <w:rPr>
          <w:b/>
        </w:rPr>
        <w:tab/>
      </w:r>
      <w:r w:rsidR="006D65A7" w:rsidRPr="00AB27C9">
        <w:rPr>
          <w:b/>
        </w:rPr>
        <w:t xml:space="preserve">Pew </w:t>
      </w:r>
      <w:proofErr w:type="spellStart"/>
      <w:r w:rsidR="006D65A7" w:rsidRPr="00AB27C9">
        <w:rPr>
          <w:b/>
        </w:rPr>
        <w:t>Pew</w:t>
      </w:r>
      <w:proofErr w:type="spellEnd"/>
      <w:r w:rsidR="006D65A7" w:rsidRPr="00AB27C9">
        <w:rPr>
          <w:b/>
        </w:rPr>
        <w:t xml:space="preserve">!  </w:t>
      </w:r>
      <w:r w:rsidR="006D65A7" w:rsidRPr="00AB27C9">
        <w:rPr>
          <w:b/>
          <w:bCs/>
        </w:rPr>
        <w:t>Technological Change and IHL</w:t>
      </w:r>
    </w:p>
    <w:p w:rsidR="006D65A7" w:rsidRDefault="006D65A7" w:rsidP="006D65A7">
      <w:pPr>
        <w:pStyle w:val="ListParagraph"/>
        <w:numPr>
          <w:ilvl w:val="0"/>
          <w:numId w:val="25"/>
        </w:numPr>
      </w:pPr>
      <w:r w:rsidRPr="00AB27C9">
        <w:t xml:space="preserve">Smith, Thomas. 2002. “The New Law of War: Legitimizing Hi-Tech and Infrastructural Violence.” </w:t>
      </w:r>
      <w:r w:rsidRPr="00AB27C9">
        <w:rPr>
          <w:i/>
        </w:rPr>
        <w:t>International Studies Quarterly</w:t>
      </w:r>
      <w:r w:rsidRPr="00AB27C9">
        <w:t xml:space="preserve"> 46: 355-374.</w:t>
      </w:r>
    </w:p>
    <w:p w:rsidR="006853B0" w:rsidRPr="006D65A7" w:rsidRDefault="006D65A7" w:rsidP="006D65A7">
      <w:pPr>
        <w:pStyle w:val="ListParagraph"/>
        <w:numPr>
          <w:ilvl w:val="0"/>
          <w:numId w:val="25"/>
        </w:numPr>
      </w:pPr>
      <w:proofErr w:type="spellStart"/>
      <w:r w:rsidRPr="00AB27C9">
        <w:t>Walzer</w:t>
      </w:r>
      <w:proofErr w:type="spellEnd"/>
      <w:r w:rsidRPr="00AB27C9">
        <w:t>, Chapter 5, “Anticipations.”</w:t>
      </w:r>
    </w:p>
    <w:p w:rsidR="00607D02" w:rsidRDefault="00607D02" w:rsidP="00580C94">
      <w:pPr>
        <w:rPr>
          <w:b/>
        </w:rPr>
      </w:pPr>
    </w:p>
    <w:p w:rsidR="00506747" w:rsidRPr="00AB27C9" w:rsidRDefault="00506747" w:rsidP="00580C94">
      <w:pPr>
        <w:rPr>
          <w:b/>
        </w:rPr>
      </w:pPr>
    </w:p>
    <w:p w:rsidR="006853B0" w:rsidRPr="00AB27C9" w:rsidRDefault="00B13817" w:rsidP="006853B0">
      <w:r w:rsidRPr="00AB27C9">
        <w:rPr>
          <w:b/>
        </w:rPr>
        <w:t>Apr. 27</w:t>
      </w:r>
      <w:r w:rsidRPr="00AB27C9">
        <w:rPr>
          <w:b/>
        </w:rPr>
        <w:tab/>
      </w:r>
      <w:proofErr w:type="gramStart"/>
      <w:r w:rsidR="006853B0" w:rsidRPr="00AB27C9">
        <w:rPr>
          <w:b/>
          <w:bCs/>
        </w:rPr>
        <w:t>How</w:t>
      </w:r>
      <w:proofErr w:type="gramEnd"/>
      <w:r w:rsidR="006853B0" w:rsidRPr="00AB27C9">
        <w:rPr>
          <w:b/>
          <w:bCs/>
        </w:rPr>
        <w:t xml:space="preserve"> should </w:t>
      </w:r>
      <w:r w:rsidR="006853B0">
        <w:rPr>
          <w:b/>
          <w:bCs/>
        </w:rPr>
        <w:t xml:space="preserve">the </w:t>
      </w:r>
      <w:r w:rsidR="006853B0" w:rsidRPr="00AB27C9">
        <w:rPr>
          <w:b/>
          <w:bCs/>
        </w:rPr>
        <w:t>law address cyber attacks?</w:t>
      </w:r>
    </w:p>
    <w:p w:rsidR="006853B0" w:rsidRDefault="006853B0" w:rsidP="006853B0">
      <w:pPr>
        <w:pStyle w:val="ListParagraph"/>
        <w:numPr>
          <w:ilvl w:val="0"/>
          <w:numId w:val="38"/>
        </w:numPr>
      </w:pPr>
      <w:proofErr w:type="spellStart"/>
      <w:r w:rsidRPr="00AB27C9">
        <w:t>Fidler</w:t>
      </w:r>
      <w:proofErr w:type="spellEnd"/>
      <w:r w:rsidRPr="00AB27C9">
        <w:t xml:space="preserve">, David. “Just and Unjust War, Uses of Force &amp; Coercion: An Ethical Inquiry with Cyber Illustrations.” </w:t>
      </w:r>
      <w:proofErr w:type="spellStart"/>
      <w:r w:rsidRPr="006853B0">
        <w:rPr>
          <w:i/>
          <w:iCs/>
        </w:rPr>
        <w:t>Daedalus</w:t>
      </w:r>
      <w:proofErr w:type="spellEnd"/>
      <w:r w:rsidRPr="00AB27C9">
        <w:t xml:space="preserve">, </w:t>
      </w:r>
      <w:proofErr w:type="gramStart"/>
      <w:r w:rsidRPr="00AB27C9">
        <w:t>Fall</w:t>
      </w:r>
      <w:proofErr w:type="gramEnd"/>
      <w:r w:rsidRPr="00AB27C9">
        <w:t xml:space="preserve"> 2016, pp. 37-49.</w:t>
      </w:r>
    </w:p>
    <w:p w:rsidR="00287A27" w:rsidRDefault="006853B0" w:rsidP="006853B0">
      <w:pPr>
        <w:pStyle w:val="ListParagraph"/>
        <w:numPr>
          <w:ilvl w:val="0"/>
          <w:numId w:val="38"/>
        </w:numPr>
      </w:pPr>
      <w:r w:rsidRPr="001E12C2">
        <w:t xml:space="preserve">Baker, Stewart. “Denial of Service.” </w:t>
      </w:r>
      <w:r w:rsidRPr="006853B0">
        <w:rPr>
          <w:i/>
          <w:iCs/>
        </w:rPr>
        <w:t xml:space="preserve">Foreign Policy. </w:t>
      </w:r>
      <w:r w:rsidRPr="001E12C2">
        <w:t>September 30, 2011.</w:t>
      </w:r>
    </w:p>
    <w:p w:rsidR="005E1E55" w:rsidRPr="00AB27C9" w:rsidRDefault="005E1E55" w:rsidP="006853B0"/>
    <w:p w:rsidR="00580C94" w:rsidRPr="00AB27C9" w:rsidRDefault="00580C94"/>
    <w:p w:rsidR="00287A27" w:rsidRPr="00AB27C9" w:rsidRDefault="00B13817" w:rsidP="00287A27">
      <w:pPr>
        <w:rPr>
          <w:b/>
        </w:rPr>
      </w:pPr>
      <w:r w:rsidRPr="00AB27C9">
        <w:rPr>
          <w:b/>
        </w:rPr>
        <w:t>Apr. 29</w:t>
      </w:r>
      <w:r w:rsidRPr="00AB27C9">
        <w:rPr>
          <w:b/>
        </w:rPr>
        <w:tab/>
      </w:r>
      <w:r w:rsidR="007861DD" w:rsidRPr="00AB27C9">
        <w:rPr>
          <w:b/>
          <w:bCs/>
        </w:rPr>
        <w:t>Drones</w:t>
      </w:r>
      <w:r w:rsidR="007861DD" w:rsidRPr="00AB27C9">
        <w:rPr>
          <w:b/>
        </w:rPr>
        <w:t xml:space="preserve"> </w:t>
      </w:r>
      <w:r w:rsidR="007861DD">
        <w:rPr>
          <w:b/>
        </w:rPr>
        <w:t>and Killer Robots</w:t>
      </w:r>
    </w:p>
    <w:p w:rsidR="007861DD" w:rsidRPr="00AB27C9" w:rsidRDefault="007861DD" w:rsidP="007861DD">
      <w:pPr>
        <w:pStyle w:val="ListParagraph"/>
        <w:numPr>
          <w:ilvl w:val="0"/>
          <w:numId w:val="39"/>
        </w:numPr>
        <w:rPr>
          <w:b/>
        </w:rPr>
      </w:pPr>
      <w:r w:rsidRPr="00AB27C9">
        <w:t xml:space="preserve">Carpenter, </w:t>
      </w:r>
      <w:proofErr w:type="spellStart"/>
      <w:r w:rsidRPr="00AB27C9">
        <w:t>Charli</w:t>
      </w:r>
      <w:proofErr w:type="spellEnd"/>
      <w:r w:rsidRPr="00AB27C9">
        <w:t xml:space="preserve">. 2013. “Beware the Killer Robots: Inside the Debate over Autonomous Weapons.” </w:t>
      </w:r>
      <w:r w:rsidRPr="00AB27C9">
        <w:rPr>
          <w:i/>
          <w:iCs/>
        </w:rPr>
        <w:t>Foreign Affairs.</w:t>
      </w:r>
    </w:p>
    <w:p w:rsidR="007861DD" w:rsidRPr="00233382" w:rsidRDefault="007861DD" w:rsidP="007861DD">
      <w:pPr>
        <w:pStyle w:val="ListParagraph"/>
        <w:numPr>
          <w:ilvl w:val="0"/>
          <w:numId w:val="39"/>
        </w:numPr>
        <w:rPr>
          <w:b/>
        </w:rPr>
      </w:pPr>
      <w:r w:rsidRPr="00233382">
        <w:t xml:space="preserve">Paul </w:t>
      </w:r>
      <w:proofErr w:type="spellStart"/>
      <w:r w:rsidRPr="00233382">
        <w:t>Scharre</w:t>
      </w:r>
      <w:proofErr w:type="spellEnd"/>
      <w:r w:rsidRPr="00233382">
        <w:t xml:space="preserve">. </w:t>
      </w:r>
      <w:r w:rsidRPr="00233382">
        <w:rPr>
          <w:i/>
        </w:rPr>
        <w:t>Army of None</w:t>
      </w:r>
      <w:r w:rsidRPr="00233382">
        <w:t>. W.W. Norton, 2018.  Chapter 16:  Robots on Trial.</w:t>
      </w:r>
    </w:p>
    <w:p w:rsidR="00287A27" w:rsidRDefault="007861DD" w:rsidP="007861DD">
      <w:pPr>
        <w:pStyle w:val="ListParagraph"/>
        <w:numPr>
          <w:ilvl w:val="0"/>
          <w:numId w:val="39"/>
        </w:numPr>
        <w:rPr>
          <w:b/>
        </w:rPr>
      </w:pPr>
      <w:r>
        <w:t>WATCH:  “IinSky.mpg” (available in “Files” on Canvas).</w:t>
      </w:r>
      <w:r w:rsidRPr="00AB27C9">
        <w:br/>
      </w:r>
    </w:p>
    <w:p w:rsidR="00B71B48" w:rsidRPr="00B71B48" w:rsidRDefault="00B71B48" w:rsidP="00B71B48">
      <w:pPr>
        <w:ind w:left="360"/>
        <w:rPr>
          <w:i/>
        </w:rPr>
      </w:pPr>
      <w:r w:rsidRPr="00B71B48">
        <w:rPr>
          <w:i/>
        </w:rPr>
        <w:t>Optional</w:t>
      </w:r>
    </w:p>
    <w:p w:rsidR="00B71B48" w:rsidRPr="00AB27C9" w:rsidRDefault="00B71B48" w:rsidP="00B71B48">
      <w:pPr>
        <w:pStyle w:val="ListParagraph"/>
        <w:numPr>
          <w:ilvl w:val="0"/>
          <w:numId w:val="39"/>
        </w:numPr>
      </w:pPr>
      <w:proofErr w:type="spellStart"/>
      <w:r w:rsidRPr="00AB27C9">
        <w:t>Walzer</w:t>
      </w:r>
      <w:proofErr w:type="spellEnd"/>
      <w:r w:rsidRPr="00AB27C9">
        <w:t xml:space="preserve">, Michael. “Just &amp; Unjust Targeted Killing &amp; Drone Warfare.” </w:t>
      </w:r>
      <w:proofErr w:type="spellStart"/>
      <w:r w:rsidRPr="00AB27C9">
        <w:rPr>
          <w:i/>
          <w:iCs/>
        </w:rPr>
        <w:t>Daedalus</w:t>
      </w:r>
      <w:proofErr w:type="spellEnd"/>
      <w:r w:rsidRPr="00AB27C9">
        <w:t xml:space="preserve">, </w:t>
      </w:r>
      <w:proofErr w:type="gramStart"/>
      <w:r w:rsidRPr="00AB27C9">
        <w:t>Fall</w:t>
      </w:r>
      <w:proofErr w:type="gramEnd"/>
      <w:r w:rsidRPr="00AB27C9">
        <w:t xml:space="preserve"> 2016, pp. 12-24.</w:t>
      </w:r>
    </w:p>
    <w:p w:rsidR="00B71B48" w:rsidRPr="00B71B48" w:rsidRDefault="00B71B48" w:rsidP="00B71B48">
      <w:pPr>
        <w:pStyle w:val="ListParagraph"/>
        <w:numPr>
          <w:ilvl w:val="0"/>
          <w:numId w:val="39"/>
        </w:numPr>
      </w:pPr>
      <w:r w:rsidRPr="00B71B48">
        <w:t xml:space="preserve">Horowitz, Michael, Sarah E. Kreps, and Matthew </w:t>
      </w:r>
      <w:proofErr w:type="spellStart"/>
      <w:r w:rsidRPr="00B71B48">
        <w:t>Fuhrmann</w:t>
      </w:r>
      <w:proofErr w:type="spellEnd"/>
      <w:r w:rsidRPr="00B71B48">
        <w:t xml:space="preserve">. “Separating Fact from fiction in the Debate over Drone Proliferation.” </w:t>
      </w:r>
      <w:r w:rsidRPr="00B71B48">
        <w:rPr>
          <w:i/>
          <w:iCs/>
        </w:rPr>
        <w:t xml:space="preserve">International Security </w:t>
      </w:r>
      <w:r w:rsidRPr="00B71B48">
        <w:t>(41:2), pp. 7-42.</w:t>
      </w:r>
    </w:p>
    <w:p w:rsidR="007861DD" w:rsidRDefault="007861DD" w:rsidP="00287A27">
      <w:pPr>
        <w:rPr>
          <w:b/>
        </w:rPr>
      </w:pPr>
    </w:p>
    <w:p w:rsidR="00B71B48" w:rsidRPr="00AB27C9" w:rsidRDefault="00B71B48" w:rsidP="00287A27">
      <w:pPr>
        <w:rPr>
          <w:b/>
        </w:rPr>
      </w:pPr>
    </w:p>
    <w:p w:rsidR="00287A27" w:rsidRPr="00AB27C9" w:rsidRDefault="000B4874" w:rsidP="00287A27">
      <w:pPr>
        <w:rPr>
          <w:b/>
        </w:rPr>
      </w:pPr>
      <w:r>
        <w:rPr>
          <w:b/>
        </w:rPr>
        <w:lastRenderedPageBreak/>
        <w:t>May 4</w:t>
      </w:r>
      <w:proofErr w:type="gramStart"/>
      <w:r>
        <w:rPr>
          <w:b/>
        </w:rPr>
        <w:tab/>
      </w:r>
      <w:r w:rsidR="00234DB3">
        <w:rPr>
          <w:b/>
        </w:rPr>
        <w:tab/>
      </w:r>
      <w:r w:rsidR="00287A27" w:rsidRPr="00AB27C9">
        <w:rPr>
          <w:b/>
          <w:bCs/>
        </w:rPr>
        <w:t>The</w:t>
      </w:r>
      <w:proofErr w:type="gramEnd"/>
      <w:r w:rsidR="00287A27" w:rsidRPr="00AB27C9">
        <w:rPr>
          <w:b/>
          <w:bCs/>
        </w:rPr>
        <w:t xml:space="preserve"> International Criminal Court and </w:t>
      </w:r>
      <w:r w:rsidR="00287A27" w:rsidRPr="00AB27C9">
        <w:rPr>
          <w:b/>
          <w:i/>
          <w:iCs/>
        </w:rPr>
        <w:t>Jus post Bellum</w:t>
      </w:r>
    </w:p>
    <w:p w:rsidR="00AB27C9" w:rsidRDefault="00287A27" w:rsidP="00287A27">
      <w:pPr>
        <w:pStyle w:val="ListParagraph"/>
        <w:numPr>
          <w:ilvl w:val="0"/>
          <w:numId w:val="41"/>
        </w:numPr>
      </w:pPr>
      <w:r w:rsidRPr="00AB27C9">
        <w:t xml:space="preserve">Dowden, Richard. “ICC in the Dock.” </w:t>
      </w:r>
      <w:r w:rsidRPr="00AB27C9">
        <w:rPr>
          <w:i/>
          <w:iCs/>
        </w:rPr>
        <w:t xml:space="preserve">Prospect Magazine </w:t>
      </w:r>
      <w:r w:rsidR="00AB27C9">
        <w:t>Issue 134, May 2007.</w:t>
      </w:r>
    </w:p>
    <w:p w:rsidR="002F0139" w:rsidRPr="00066338" w:rsidRDefault="002F0139" w:rsidP="002F0139">
      <w:pPr>
        <w:pStyle w:val="ListParagraph"/>
        <w:numPr>
          <w:ilvl w:val="0"/>
          <w:numId w:val="41"/>
        </w:numPr>
        <w:rPr>
          <w:b/>
          <w:u w:val="single"/>
        </w:rPr>
      </w:pPr>
      <w:r w:rsidRPr="00AB27C9">
        <w:t xml:space="preserve">Branch, Adam. “Uganda’s Civil War and the Politics of ICC Intervention.” </w:t>
      </w:r>
      <w:r w:rsidRPr="00AB27C9">
        <w:rPr>
          <w:i/>
          <w:iCs/>
        </w:rPr>
        <w:t xml:space="preserve">Ethics and International Affairs </w:t>
      </w:r>
      <w:proofErr w:type="spellStart"/>
      <w:r w:rsidRPr="00AB27C9">
        <w:t>Vol</w:t>
      </w:r>
      <w:proofErr w:type="spellEnd"/>
      <w:r w:rsidRPr="00AB27C9">
        <w:t xml:space="preserve"> 21.2 (Summer 2007).</w:t>
      </w:r>
      <w:r>
        <w:t xml:space="preserve">  </w:t>
      </w:r>
      <w:r w:rsidRPr="00471D23">
        <w:rPr>
          <w:b/>
          <w:highlight w:val="yellow"/>
          <w:u w:val="single"/>
        </w:rPr>
        <w:t>Read after the Dowden piece, and only the following two parts:</w:t>
      </w:r>
    </w:p>
    <w:p w:rsidR="002F0139" w:rsidRDefault="002F0139" w:rsidP="002F0139">
      <w:pPr>
        <w:pStyle w:val="ListParagraph"/>
        <w:numPr>
          <w:ilvl w:val="1"/>
          <w:numId w:val="41"/>
        </w:numPr>
      </w:pPr>
      <w:r>
        <w:t>“Politics of the intervention.”</w:t>
      </w:r>
    </w:p>
    <w:p w:rsidR="002F0139" w:rsidRDefault="002F0139" w:rsidP="002F0139">
      <w:pPr>
        <w:pStyle w:val="ListParagraph"/>
        <w:numPr>
          <w:ilvl w:val="1"/>
          <w:numId w:val="41"/>
        </w:numPr>
        <w:rPr>
          <w:bCs/>
        </w:rPr>
      </w:pPr>
      <w:r w:rsidRPr="002F0139">
        <w:t>“</w:t>
      </w:r>
      <w:r w:rsidRPr="002F0139">
        <w:rPr>
          <w:bCs/>
        </w:rPr>
        <w:t>Mitigating the negative effects of ICC intervention</w:t>
      </w:r>
      <w:r>
        <w:rPr>
          <w:bCs/>
        </w:rPr>
        <w:t>”</w:t>
      </w:r>
    </w:p>
    <w:p w:rsidR="00FD633C" w:rsidRPr="002F0139" w:rsidRDefault="00FD633C" w:rsidP="00FD633C">
      <w:pPr>
        <w:pStyle w:val="ListParagraph"/>
        <w:numPr>
          <w:ilvl w:val="0"/>
          <w:numId w:val="41"/>
        </w:numPr>
        <w:rPr>
          <w:bCs/>
        </w:rPr>
      </w:pPr>
      <w:r>
        <w:rPr>
          <w:bCs/>
        </w:rPr>
        <w:t xml:space="preserve">Bass, Gary. “Jus Post Bellum.” </w:t>
      </w:r>
      <w:r>
        <w:rPr>
          <w:bCs/>
          <w:i/>
        </w:rPr>
        <w:t>Philosophy &amp; Public Affairs</w:t>
      </w:r>
      <w:r>
        <w:rPr>
          <w:bCs/>
        </w:rPr>
        <w:t>. 32:4. 2004.</w:t>
      </w:r>
    </w:p>
    <w:p w:rsidR="007D7FC0" w:rsidRDefault="007D7FC0"/>
    <w:p w:rsidR="007D7FC0" w:rsidRPr="00B71B48" w:rsidRDefault="007D7FC0" w:rsidP="007D7FC0">
      <w:pPr>
        <w:ind w:left="360"/>
        <w:rPr>
          <w:i/>
        </w:rPr>
      </w:pPr>
      <w:r w:rsidRPr="00B71B48">
        <w:rPr>
          <w:i/>
        </w:rPr>
        <w:t>Optional</w:t>
      </w:r>
    </w:p>
    <w:p w:rsidR="008A1030" w:rsidRDefault="008A1030" w:rsidP="008A1030">
      <w:pPr>
        <w:pStyle w:val="ListParagraph"/>
        <w:numPr>
          <w:ilvl w:val="0"/>
          <w:numId w:val="41"/>
        </w:numPr>
      </w:pPr>
      <w:r w:rsidRPr="00AB27C9">
        <w:t xml:space="preserve">Wechsler, Lawrence. “Exceptional Cases in Rome: The United States and the Struggle for an ICC.” in Sarah B. Sewall and Carl </w:t>
      </w:r>
      <w:proofErr w:type="spellStart"/>
      <w:r w:rsidRPr="00AB27C9">
        <w:t>Kaysen</w:t>
      </w:r>
      <w:proofErr w:type="spellEnd"/>
      <w:r w:rsidRPr="00AB27C9">
        <w:t xml:space="preserve">, </w:t>
      </w:r>
      <w:proofErr w:type="gramStart"/>
      <w:r w:rsidRPr="00AB27C9">
        <w:t>eds</w:t>
      </w:r>
      <w:proofErr w:type="gramEnd"/>
      <w:r w:rsidRPr="00AB27C9">
        <w:t xml:space="preserve">. </w:t>
      </w:r>
      <w:r w:rsidRPr="00AB27C9">
        <w:rPr>
          <w:i/>
          <w:iCs/>
        </w:rPr>
        <w:t xml:space="preserve">The United States and the International Criminal Court: National Security and International Law. </w:t>
      </w:r>
      <w:r w:rsidRPr="00AB27C9">
        <w:t xml:space="preserve">(Boulder: </w:t>
      </w:r>
      <w:proofErr w:type="spellStart"/>
      <w:r w:rsidRPr="00AB27C9">
        <w:t>Rowman</w:t>
      </w:r>
      <w:proofErr w:type="spellEnd"/>
      <w:r w:rsidRPr="00AB27C9">
        <w:t xml:space="preserve"> &amp; Littlefield, 2000).</w:t>
      </w:r>
    </w:p>
    <w:p w:rsidR="00C473E0" w:rsidRDefault="00C473E0" w:rsidP="007D7FC0">
      <w:pPr>
        <w:pStyle w:val="ListParagraph"/>
        <w:numPr>
          <w:ilvl w:val="0"/>
          <w:numId w:val="41"/>
        </w:numPr>
      </w:pPr>
      <w:r w:rsidRPr="00AB27C9">
        <w:t xml:space="preserve">Ward </w:t>
      </w:r>
      <w:proofErr w:type="spellStart"/>
      <w:r w:rsidRPr="00AB27C9">
        <w:t>Ferdinandusse</w:t>
      </w:r>
      <w:proofErr w:type="spellEnd"/>
      <w:r w:rsidRPr="00AB27C9">
        <w:t>. “Improving Interstate Cooperation for the National Prosecution of International Crimes: Towards a New Treaty?”</w:t>
      </w:r>
      <w:r w:rsidRPr="00AB27C9">
        <w:rPr>
          <w:i/>
          <w:iCs/>
        </w:rPr>
        <w:t xml:space="preserve">ASIL Insights </w:t>
      </w:r>
      <w:r w:rsidRPr="00AB27C9">
        <w:t xml:space="preserve">18:5, July 21, 2014. </w:t>
      </w:r>
      <w:hyperlink r:id="rId28" w:history="1">
        <w:r w:rsidRPr="00AB27C9">
          <w:rPr>
            <w:rStyle w:val="Hyperlink"/>
          </w:rPr>
          <w:t>http://www.asil.org/insights/volume/18/issue/15/improvinginter-state-cooperation-national-prosecution-international</w:t>
        </w:r>
      </w:hyperlink>
    </w:p>
    <w:p w:rsidR="007D7FC0" w:rsidRPr="007D7FC0" w:rsidRDefault="007D7FC0" w:rsidP="007D7FC0">
      <w:pPr>
        <w:pStyle w:val="ListParagraph"/>
        <w:numPr>
          <w:ilvl w:val="0"/>
          <w:numId w:val="41"/>
        </w:numPr>
      </w:pPr>
      <w:r w:rsidRPr="007D7FC0">
        <w:t xml:space="preserve">Leslie </w:t>
      </w:r>
      <w:proofErr w:type="spellStart"/>
      <w:r w:rsidRPr="007D7FC0">
        <w:t>Vinjamuri</w:t>
      </w:r>
      <w:proofErr w:type="spellEnd"/>
      <w:r w:rsidRPr="007D7FC0">
        <w:t xml:space="preserve">. “Syria and the International Criminal Court.” April 25, 2014 at Political Violence @ A Glance: </w:t>
      </w:r>
      <w:hyperlink r:id="rId29" w:history="1">
        <w:r w:rsidRPr="007D7FC0">
          <w:rPr>
            <w:rStyle w:val="Hyperlink"/>
          </w:rPr>
          <w:t>http://politicalviolenceataglance.org/2014/04/25/syria-and-the-internationalcriminal-court/</w:t>
        </w:r>
      </w:hyperlink>
    </w:p>
    <w:p w:rsidR="000A77E0" w:rsidRDefault="000A77E0">
      <w:r>
        <w:br w:type="page"/>
      </w:r>
    </w:p>
    <w:p w:rsidR="000A77E0" w:rsidRDefault="000A77E0" w:rsidP="00C37620">
      <w:pPr>
        <w:pStyle w:val="NormalWeb"/>
        <w:shd w:val="clear" w:color="auto" w:fill="FFFFFF"/>
        <w:spacing w:before="0" w:beforeAutospacing="0" w:after="0" w:afterAutospacing="0"/>
        <w:rPr>
          <w:color w:val="000000"/>
          <w:sz w:val="22"/>
          <w:szCs w:val="22"/>
        </w:rPr>
      </w:pPr>
      <w:r>
        <w:rPr>
          <w:b/>
          <w:bCs/>
          <w:color w:val="990000"/>
          <w:sz w:val="22"/>
          <w:szCs w:val="22"/>
        </w:rPr>
        <w:lastRenderedPageBreak/>
        <w:t>Student Conduct Code</w:t>
      </w:r>
      <w:proofErr w:type="gramStart"/>
      <w:r>
        <w:rPr>
          <w:b/>
          <w:bCs/>
          <w:color w:val="990000"/>
          <w:sz w:val="22"/>
          <w:szCs w:val="22"/>
        </w:rPr>
        <w:t>:</w:t>
      </w:r>
      <w:proofErr w:type="gramEnd"/>
      <w:r>
        <w:rPr>
          <w:b/>
          <w:bCs/>
          <w:color w:val="990000"/>
          <w:sz w:val="22"/>
          <w:szCs w:val="22"/>
        </w:rPr>
        <w:br/>
      </w:r>
      <w:r>
        <w:rPr>
          <w:color w:val="000000"/>
          <w:sz w:val="22"/>
          <w:szCs w:val="22"/>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 As a student at the University you are expected adhere to Board of Regents Policy: </w:t>
      </w:r>
      <w:r>
        <w:rPr>
          <w:i/>
          <w:iCs/>
          <w:color w:val="000000"/>
          <w:sz w:val="22"/>
          <w:szCs w:val="22"/>
        </w:rPr>
        <w:t>Student Conduct Code</w:t>
      </w:r>
      <w:r>
        <w:rPr>
          <w:color w:val="000000"/>
          <w:sz w:val="22"/>
          <w:szCs w:val="22"/>
        </w:rPr>
        <w:t xml:space="preserve">. To review the Student Conduct Code, please see: </w:t>
      </w:r>
      <w:hyperlink r:id="rId30" w:history="1">
        <w:r>
          <w:rPr>
            <w:rStyle w:val="Hyperlink"/>
            <w:i/>
            <w:iCs/>
            <w:sz w:val="22"/>
            <w:szCs w:val="22"/>
            <w:u w:val="none"/>
          </w:rPr>
          <w:t>regents.umn.edu/sites/default/files/policies/Student_Conduct_Code.pdf</w:t>
        </w:r>
      </w:hyperlink>
      <w:r>
        <w:rPr>
          <w:color w:val="333333"/>
          <w:sz w:val="22"/>
          <w:szCs w:val="22"/>
        </w:rPr>
        <w:t>.</w:t>
      </w:r>
      <w:r>
        <w:rPr>
          <w:color w:val="333333"/>
          <w:sz w:val="22"/>
          <w:szCs w:val="22"/>
        </w:rPr>
        <w:br/>
      </w:r>
      <w:r>
        <w:rPr>
          <w:color w:val="333333"/>
          <w:sz w:val="22"/>
          <w:szCs w:val="22"/>
        </w:rPr>
        <w:br/>
      </w:r>
      <w:proofErr w:type="gramStart"/>
      <w:r>
        <w:rPr>
          <w:color w:val="000000"/>
          <w:sz w:val="22"/>
          <w:szCs w:val="22"/>
        </w:rPr>
        <w:t>Note that the conduct code specifically addresses disruptive classroom conduct, which means "engaging in behavior that substantially or repeatedly interrupts either the instructor's ability to teach or student learning.</w:t>
      </w:r>
      <w:proofErr w:type="gramEnd"/>
      <w:r>
        <w:rPr>
          <w:color w:val="000000"/>
          <w:sz w:val="22"/>
          <w:szCs w:val="22"/>
        </w:rPr>
        <w:t xml:space="preserve"> The classroom extends to any setting where a student is engaged in work toward academic credit or satisfaction of program-based requirements or related activities."</w:t>
      </w:r>
    </w:p>
    <w:p w:rsidR="00C37620" w:rsidRDefault="00C37620" w:rsidP="00C37620">
      <w:pPr>
        <w:pStyle w:val="NormalWeb"/>
        <w:shd w:val="clear" w:color="auto" w:fill="FFFFFF"/>
        <w:spacing w:before="0" w:beforeAutospacing="0" w:after="0" w:afterAutospacing="0"/>
      </w:pPr>
    </w:p>
    <w:p w:rsidR="000A77E0" w:rsidRDefault="000A77E0" w:rsidP="00C37620">
      <w:pPr>
        <w:pStyle w:val="NormalWeb"/>
        <w:shd w:val="clear" w:color="auto" w:fill="FFFFFF"/>
        <w:spacing w:before="0" w:beforeAutospacing="0" w:after="0" w:afterAutospacing="0"/>
      </w:pPr>
      <w:r>
        <w:rPr>
          <w:b/>
          <w:bCs/>
          <w:color w:val="990000"/>
          <w:sz w:val="22"/>
          <w:szCs w:val="22"/>
        </w:rPr>
        <w:t>Use of Personal Electronic Devices in the Classroom:</w:t>
      </w:r>
    </w:p>
    <w:p w:rsidR="000A77E0" w:rsidRDefault="000A77E0" w:rsidP="00C37620">
      <w:pPr>
        <w:pStyle w:val="NormalWeb"/>
        <w:shd w:val="clear" w:color="auto" w:fill="FFFFFF"/>
        <w:spacing w:before="0" w:beforeAutospacing="0" w:after="0" w:afterAutospacing="0"/>
        <w:rPr>
          <w:color w:val="333333"/>
          <w:sz w:val="22"/>
          <w:szCs w:val="22"/>
        </w:rPr>
      </w:pPr>
      <w:r>
        <w:rPr>
          <w:color w:val="000000"/>
          <w:sz w:val="22"/>
          <w:szCs w:val="22"/>
        </w:rPr>
        <w:t xml:space="preserve">The University establishes the right of each faculty member to determine if and how personal electronic devices are allowed to be used in the classroom. For complete information, please reference: </w:t>
      </w:r>
      <w:hyperlink r:id="rId31" w:history="1">
        <w:r>
          <w:rPr>
            <w:rStyle w:val="Hyperlink"/>
            <w:i/>
            <w:iCs/>
            <w:sz w:val="22"/>
            <w:szCs w:val="22"/>
            <w:u w:val="none"/>
          </w:rPr>
          <w:t>policy.umn.edu/Policies/Education/Education/STUDENTRESP.html</w:t>
        </w:r>
      </w:hyperlink>
      <w:r>
        <w:rPr>
          <w:color w:val="333333"/>
          <w:sz w:val="22"/>
          <w:szCs w:val="22"/>
        </w:rPr>
        <w:t>.</w:t>
      </w:r>
    </w:p>
    <w:p w:rsidR="00C37620" w:rsidRDefault="00C37620" w:rsidP="00C37620">
      <w:pPr>
        <w:pStyle w:val="NormalWeb"/>
        <w:shd w:val="clear" w:color="auto" w:fill="FFFFFF"/>
        <w:spacing w:before="0" w:beforeAutospacing="0" w:after="0" w:afterAutospacing="0"/>
      </w:pPr>
    </w:p>
    <w:p w:rsidR="000A77E0" w:rsidRDefault="000A77E0" w:rsidP="00C37620">
      <w:pPr>
        <w:pStyle w:val="NormalWeb"/>
        <w:shd w:val="clear" w:color="auto" w:fill="FFFFFF"/>
        <w:spacing w:before="0" w:beforeAutospacing="0" w:after="0" w:afterAutospacing="0"/>
      </w:pPr>
      <w:r>
        <w:rPr>
          <w:b/>
          <w:bCs/>
          <w:color w:val="990000"/>
          <w:sz w:val="22"/>
          <w:szCs w:val="22"/>
        </w:rPr>
        <w:t>Scholastic Dishonesty:</w:t>
      </w:r>
    </w:p>
    <w:p w:rsidR="00C37620" w:rsidRDefault="000A77E0" w:rsidP="00C37620">
      <w:pPr>
        <w:pStyle w:val="NormalWeb"/>
        <w:shd w:val="clear" w:color="auto" w:fill="FFFFFF"/>
        <w:spacing w:before="0" w:beforeAutospacing="0" w:after="0" w:afterAutospacing="0"/>
        <w:rPr>
          <w:color w:val="000000"/>
          <w:sz w:val="22"/>
          <w:szCs w:val="22"/>
        </w:rPr>
      </w:pPr>
      <w:r>
        <w:rPr>
          <w:color w:val="000000"/>
          <w:sz w:val="22"/>
          <w:szCs w:val="22"/>
        </w:rPr>
        <w:t xml:space="preserve">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If it is determined that a student has cheated, he or she may be given an "F" or an "N" for the course, and may face additional sanctions from the University. </w:t>
      </w:r>
    </w:p>
    <w:p w:rsidR="00C37620" w:rsidRDefault="00C37620" w:rsidP="00C37620">
      <w:pPr>
        <w:pStyle w:val="NormalWeb"/>
        <w:shd w:val="clear" w:color="auto" w:fill="FFFFFF"/>
        <w:spacing w:before="0" w:beforeAutospacing="0" w:after="0" w:afterAutospacing="0"/>
        <w:rPr>
          <w:color w:val="000000"/>
          <w:sz w:val="22"/>
          <w:szCs w:val="22"/>
        </w:rPr>
      </w:pPr>
    </w:p>
    <w:p w:rsidR="000A77E0" w:rsidRDefault="000A77E0" w:rsidP="00C37620">
      <w:pPr>
        <w:pStyle w:val="NormalWeb"/>
        <w:shd w:val="clear" w:color="auto" w:fill="FFFFFF"/>
        <w:spacing w:before="0" w:beforeAutospacing="0" w:after="0" w:afterAutospacing="0"/>
        <w:rPr>
          <w:color w:val="333333"/>
          <w:sz w:val="22"/>
          <w:szCs w:val="22"/>
        </w:rPr>
      </w:pPr>
      <w:r>
        <w:rPr>
          <w:color w:val="000000"/>
          <w:sz w:val="22"/>
          <w:szCs w:val="22"/>
        </w:rPr>
        <w:t xml:space="preserve">For additional information, please see: </w:t>
      </w:r>
      <w:hyperlink r:id="rId32" w:history="1">
        <w:r>
          <w:rPr>
            <w:rStyle w:val="Hyperlink"/>
            <w:i/>
            <w:iCs/>
            <w:sz w:val="22"/>
            <w:szCs w:val="22"/>
            <w:u w:val="none"/>
          </w:rPr>
          <w:t>policy.umn.edu/Policies/Education/Education/INSTRUCTORRESP.html</w:t>
        </w:r>
      </w:hyperlink>
      <w:r>
        <w:rPr>
          <w:color w:val="333333"/>
          <w:sz w:val="22"/>
          <w:szCs w:val="22"/>
        </w:rPr>
        <w:t>.</w:t>
      </w:r>
    </w:p>
    <w:p w:rsidR="00C37620" w:rsidRDefault="00C37620" w:rsidP="00C37620">
      <w:pPr>
        <w:pStyle w:val="NormalWeb"/>
        <w:shd w:val="clear" w:color="auto" w:fill="FFFFFF"/>
        <w:spacing w:before="0" w:beforeAutospacing="0" w:after="0" w:afterAutospacing="0"/>
      </w:pPr>
    </w:p>
    <w:p w:rsidR="000A77E0" w:rsidRDefault="000A77E0" w:rsidP="00C37620">
      <w:pPr>
        <w:pStyle w:val="NormalWeb"/>
        <w:shd w:val="clear" w:color="auto" w:fill="FFFFFF"/>
        <w:spacing w:before="0" w:beforeAutospacing="0" w:after="0" w:afterAutospacing="0"/>
        <w:rPr>
          <w:color w:val="000000"/>
          <w:sz w:val="22"/>
          <w:szCs w:val="22"/>
        </w:rPr>
      </w:pPr>
      <w:r>
        <w:rPr>
          <w:color w:val="000000"/>
          <w:sz w:val="22"/>
          <w:szCs w:val="22"/>
        </w:rPr>
        <w:t>The Office for Student Conduct and Academic Integrity has compiled a useful list of Frequently Asked Questions pertaining to scholastic dishonesty: </w:t>
      </w:r>
      <w:hyperlink r:id="rId33" w:history="1">
        <w:r>
          <w:rPr>
            <w:rStyle w:val="Hyperlink"/>
            <w:i/>
            <w:iCs/>
            <w:sz w:val="22"/>
            <w:szCs w:val="22"/>
            <w:u w:val="none"/>
          </w:rPr>
          <w:t>/www1.umn.edu/oscai/integrity/student/index.html</w:t>
        </w:r>
      </w:hyperlink>
      <w:r>
        <w:rPr>
          <w:color w:val="333333"/>
          <w:sz w:val="22"/>
          <w:szCs w:val="22"/>
        </w:rPr>
        <w:t xml:space="preserve">. </w:t>
      </w:r>
      <w:r>
        <w:rPr>
          <w:color w:val="000000"/>
          <w:sz w:val="22"/>
          <w:szCs w:val="22"/>
        </w:rPr>
        <w:t>If you have additional questions, please clarify with your instructor for the course. </w:t>
      </w:r>
    </w:p>
    <w:p w:rsidR="00C37620" w:rsidRDefault="00C37620" w:rsidP="00C37620">
      <w:pPr>
        <w:pStyle w:val="NormalWeb"/>
        <w:shd w:val="clear" w:color="auto" w:fill="FFFFFF"/>
        <w:spacing w:before="0" w:beforeAutospacing="0" w:after="0" w:afterAutospacing="0"/>
      </w:pPr>
    </w:p>
    <w:p w:rsidR="000A77E0" w:rsidRDefault="000A77E0" w:rsidP="00C37620">
      <w:pPr>
        <w:pStyle w:val="NormalWeb"/>
        <w:shd w:val="clear" w:color="auto" w:fill="FFFFFF"/>
        <w:spacing w:before="0" w:beforeAutospacing="0" w:after="0" w:afterAutospacing="0"/>
      </w:pPr>
      <w:r>
        <w:rPr>
          <w:b/>
          <w:bCs/>
          <w:color w:val="990000"/>
          <w:sz w:val="22"/>
          <w:szCs w:val="22"/>
        </w:rPr>
        <w:t>Makeup Work for Legitimate Absences:</w:t>
      </w:r>
    </w:p>
    <w:p w:rsidR="000A77E0" w:rsidRDefault="000A77E0" w:rsidP="00C37620">
      <w:pPr>
        <w:pStyle w:val="NormalWeb"/>
        <w:shd w:val="clear" w:color="auto" w:fill="FFFFFF"/>
        <w:spacing w:before="0" w:beforeAutospacing="0" w:after="0" w:afterAutospacing="0"/>
        <w:rPr>
          <w:color w:val="333333"/>
          <w:sz w:val="22"/>
          <w:szCs w:val="22"/>
        </w:rPr>
      </w:pPr>
      <w:r>
        <w:rPr>
          <w:color w:val="000000"/>
          <w:sz w:val="22"/>
          <w:szCs w:val="22"/>
        </w:rPr>
        <w:t xml:space="preserve">Students will not be penalized for absence during the semester due to unavoidable or legitimate circumstances. </w:t>
      </w:r>
      <w:hyperlink r:id="rId34" w:history="1">
        <w:r>
          <w:rPr>
            <w:rStyle w:val="Hyperlink"/>
            <w:i/>
            <w:iCs/>
            <w:sz w:val="22"/>
            <w:szCs w:val="22"/>
            <w:u w:val="none"/>
          </w:rPr>
          <w:t>policy.umn.edu/Policies/Education/Education/MAKEUPWORK.html</w:t>
        </w:r>
      </w:hyperlink>
      <w:r>
        <w:rPr>
          <w:color w:val="333333"/>
          <w:sz w:val="22"/>
          <w:szCs w:val="22"/>
        </w:rPr>
        <w:t>.</w:t>
      </w:r>
    </w:p>
    <w:p w:rsidR="00C37620" w:rsidRDefault="00C37620" w:rsidP="00C37620">
      <w:pPr>
        <w:pStyle w:val="NormalWeb"/>
        <w:shd w:val="clear" w:color="auto" w:fill="FFFFFF"/>
        <w:spacing w:before="0" w:beforeAutospacing="0" w:after="0" w:afterAutospacing="0"/>
      </w:pPr>
    </w:p>
    <w:p w:rsidR="000A77E0" w:rsidRDefault="000A77E0" w:rsidP="00C37620">
      <w:pPr>
        <w:pStyle w:val="NormalWeb"/>
        <w:shd w:val="clear" w:color="auto" w:fill="FFFFFF"/>
        <w:spacing w:before="0" w:beforeAutospacing="0" w:after="0" w:afterAutospacing="0"/>
      </w:pPr>
      <w:r>
        <w:rPr>
          <w:b/>
          <w:bCs/>
          <w:color w:val="990000"/>
          <w:sz w:val="22"/>
          <w:szCs w:val="22"/>
        </w:rPr>
        <w:t>Appropriate Student Use of Class Notes and Course Materials:</w:t>
      </w:r>
    </w:p>
    <w:p w:rsidR="000A77E0" w:rsidRDefault="000A77E0" w:rsidP="00C37620">
      <w:pPr>
        <w:pStyle w:val="NormalWeb"/>
        <w:shd w:val="clear" w:color="auto" w:fill="FFFFFF"/>
        <w:spacing w:before="0" w:beforeAutospacing="0" w:after="0" w:afterAutospacing="0"/>
        <w:rPr>
          <w:color w:val="333333"/>
          <w:sz w:val="22"/>
          <w:szCs w:val="22"/>
        </w:rPr>
      </w:pPr>
      <w:r>
        <w:rPr>
          <w:color w:val="000000"/>
          <w:sz w:val="22"/>
          <w:szCs w:val="22"/>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w:t>
      </w:r>
      <w:r>
        <w:rPr>
          <w:color w:val="333333"/>
          <w:sz w:val="22"/>
          <w:szCs w:val="22"/>
        </w:rPr>
        <w:t>see: </w:t>
      </w:r>
      <w:hyperlink r:id="rId35" w:history="1">
        <w:r>
          <w:rPr>
            <w:rStyle w:val="Hyperlink"/>
            <w:i/>
            <w:iCs/>
            <w:sz w:val="22"/>
            <w:szCs w:val="22"/>
            <w:u w:val="none"/>
          </w:rPr>
          <w:t>policy.umn.edu/Policies/Education/Education/STUDENTRESP.html</w:t>
        </w:r>
      </w:hyperlink>
      <w:r>
        <w:rPr>
          <w:color w:val="333333"/>
          <w:sz w:val="22"/>
          <w:szCs w:val="22"/>
        </w:rPr>
        <w:t>.</w:t>
      </w:r>
    </w:p>
    <w:p w:rsidR="00C37620" w:rsidRDefault="00C37620" w:rsidP="00C37620">
      <w:pPr>
        <w:pStyle w:val="NormalWeb"/>
        <w:shd w:val="clear" w:color="auto" w:fill="FFFFFF"/>
        <w:spacing w:before="0" w:beforeAutospacing="0" w:after="0" w:afterAutospacing="0"/>
      </w:pPr>
    </w:p>
    <w:p w:rsidR="000A77E0" w:rsidRDefault="000A77E0" w:rsidP="00C37620">
      <w:pPr>
        <w:pStyle w:val="NormalWeb"/>
        <w:shd w:val="clear" w:color="auto" w:fill="FFFFFF"/>
        <w:spacing w:before="0" w:beforeAutospacing="0" w:after="0" w:afterAutospacing="0"/>
      </w:pPr>
      <w:r>
        <w:rPr>
          <w:b/>
          <w:bCs/>
          <w:color w:val="990000"/>
          <w:sz w:val="22"/>
          <w:szCs w:val="22"/>
        </w:rPr>
        <w:lastRenderedPageBreak/>
        <w:t>Grading and Transcripts</w:t>
      </w:r>
      <w:proofErr w:type="gramStart"/>
      <w:r>
        <w:rPr>
          <w:b/>
          <w:bCs/>
          <w:color w:val="990000"/>
          <w:sz w:val="22"/>
          <w:szCs w:val="22"/>
        </w:rPr>
        <w:t>:</w:t>
      </w:r>
      <w:proofErr w:type="gramEnd"/>
      <w:r>
        <w:rPr>
          <w:b/>
          <w:bCs/>
          <w:color w:val="990000"/>
          <w:sz w:val="22"/>
          <w:szCs w:val="22"/>
        </w:rPr>
        <w:br/>
      </w:r>
      <w:r>
        <w:rPr>
          <w:color w:val="000000"/>
          <w:sz w:val="22"/>
          <w:szCs w:val="22"/>
        </w:rPr>
        <w:t>The University utilizes plus and minus grading on a 4.000 cumulative grade point scale. The two grading systems used are the ABCDF and S-N. Political science majors and minors must take POL courses on the ABCDF system. An S grade is the equivalent of a C- or better. Inquiries regarding grade changes should be directed to the course instructor. Extra work in an attempt to raise a grade can only be submitted with the instructor’s approval. </w:t>
      </w:r>
    </w:p>
    <w:p w:rsidR="00C37620" w:rsidRDefault="00C37620" w:rsidP="00C37620">
      <w:pPr>
        <w:pStyle w:val="NormalWeb"/>
        <w:shd w:val="clear" w:color="auto" w:fill="FFFFFF"/>
        <w:spacing w:before="0" w:beforeAutospacing="0" w:after="0" w:afterAutospacing="0"/>
        <w:rPr>
          <w:color w:val="000000"/>
          <w:sz w:val="22"/>
          <w:szCs w:val="22"/>
        </w:rPr>
      </w:pPr>
    </w:p>
    <w:p w:rsidR="000A77E0" w:rsidRDefault="000A77E0" w:rsidP="00C37620">
      <w:pPr>
        <w:pStyle w:val="NormalWeb"/>
        <w:shd w:val="clear" w:color="auto" w:fill="FFFFFF"/>
        <w:spacing w:before="0" w:beforeAutospacing="0" w:after="0" w:afterAutospacing="0"/>
      </w:pPr>
      <w:r>
        <w:rPr>
          <w:color w:val="000000"/>
          <w:sz w:val="22"/>
          <w:szCs w:val="22"/>
        </w:rPr>
        <w:t xml:space="preserve">For additional information, please refer to: </w:t>
      </w:r>
      <w:hyperlink r:id="rId36" w:history="1">
        <w:r>
          <w:rPr>
            <w:rStyle w:val="Hyperlink"/>
            <w:i/>
            <w:iCs/>
            <w:sz w:val="22"/>
            <w:szCs w:val="22"/>
            <w:u w:val="none"/>
          </w:rPr>
          <w:t>policy.umn.edu/Policies/Education/Education/GRADINGTRANSCRIPTS.html</w:t>
        </w:r>
      </w:hyperlink>
      <w:r>
        <w:rPr>
          <w:color w:val="333333"/>
          <w:sz w:val="22"/>
          <w:szCs w:val="22"/>
        </w:rPr>
        <w:t>.</w:t>
      </w:r>
    </w:p>
    <w:p w:rsidR="00C37620" w:rsidRDefault="00C37620" w:rsidP="00C37620">
      <w:pPr>
        <w:pStyle w:val="NormalWeb"/>
        <w:shd w:val="clear" w:color="auto" w:fill="FFFFFF"/>
        <w:spacing w:before="0" w:beforeAutospacing="0" w:after="0" w:afterAutospacing="0"/>
        <w:rPr>
          <w:b/>
          <w:bCs/>
          <w:color w:val="990000"/>
          <w:sz w:val="22"/>
          <w:szCs w:val="22"/>
        </w:rPr>
      </w:pPr>
    </w:p>
    <w:p w:rsidR="000A77E0" w:rsidRDefault="000A77E0" w:rsidP="00C37620">
      <w:pPr>
        <w:pStyle w:val="NormalWeb"/>
        <w:shd w:val="clear" w:color="auto" w:fill="FFFFFF"/>
        <w:spacing w:before="0" w:beforeAutospacing="0" w:after="0" w:afterAutospacing="0"/>
      </w:pPr>
      <w:r>
        <w:rPr>
          <w:b/>
          <w:bCs/>
          <w:color w:val="990000"/>
          <w:sz w:val="22"/>
          <w:szCs w:val="22"/>
        </w:rPr>
        <w:t>Incompletes</w:t>
      </w:r>
      <w:proofErr w:type="gramStart"/>
      <w:r>
        <w:rPr>
          <w:b/>
          <w:bCs/>
          <w:color w:val="990000"/>
          <w:sz w:val="22"/>
          <w:szCs w:val="22"/>
        </w:rPr>
        <w:t>:</w:t>
      </w:r>
      <w:proofErr w:type="gramEnd"/>
      <w:r>
        <w:rPr>
          <w:b/>
          <w:bCs/>
          <w:color w:val="990000"/>
          <w:sz w:val="22"/>
          <w:szCs w:val="22"/>
        </w:rPr>
        <w:br/>
      </w:r>
      <w:r>
        <w:rPr>
          <w:color w:val="000000"/>
          <w:sz w:val="22"/>
          <w:szCs w:val="22"/>
        </w:rPr>
        <w:t>The instructor will specify the conditions, if any, under which an “Incomplete” will be assigned instead of a grade. No student has an automatic right to an incomplete.</w:t>
      </w:r>
    </w:p>
    <w:p w:rsidR="000A77E0" w:rsidRDefault="000A77E0" w:rsidP="00C37620">
      <w:pPr>
        <w:pStyle w:val="NormalWeb"/>
        <w:numPr>
          <w:ilvl w:val="0"/>
          <w:numId w:val="42"/>
        </w:numPr>
        <w:shd w:val="clear" w:color="auto" w:fill="FFFFFF"/>
        <w:spacing w:before="0" w:beforeAutospacing="0" w:after="0" w:afterAutospacing="0"/>
        <w:textAlignment w:val="baseline"/>
        <w:rPr>
          <w:rFonts w:ascii="Arial" w:hAnsi="Arial" w:cs="Arial"/>
          <w:b/>
          <w:bCs/>
          <w:color w:val="990000"/>
          <w:sz w:val="22"/>
          <w:szCs w:val="22"/>
        </w:rPr>
      </w:pPr>
      <w:r>
        <w:rPr>
          <w:b/>
          <w:bCs/>
          <w:color w:val="990000"/>
          <w:sz w:val="22"/>
          <w:szCs w:val="22"/>
          <w:u w:val="single"/>
        </w:rPr>
        <w:t>Department of Political Science Policy</w:t>
      </w:r>
      <w:r>
        <w:rPr>
          <w:b/>
          <w:bCs/>
          <w:color w:val="990000"/>
          <w:sz w:val="22"/>
          <w:szCs w:val="22"/>
        </w:rPr>
        <w:t xml:space="preserve">: </w:t>
      </w:r>
      <w:r>
        <w:rPr>
          <w:color w:val="000000"/>
          <w:sz w:val="22"/>
          <w:szCs w:val="22"/>
        </w:rPr>
        <w:t xml:space="preserve">The instructor may set dates and conditions for makeup work </w:t>
      </w:r>
      <w:r>
        <w:rPr>
          <w:color w:val="000000"/>
          <w:sz w:val="22"/>
          <w:szCs w:val="22"/>
          <w:shd w:val="clear" w:color="auto" w:fill="FFFFFF"/>
        </w:rPr>
        <w:t>using a "Completion of Incomplete Work" contract form. All work must be completed no later than one calendar year after the official last day of the class.</w:t>
      </w:r>
    </w:p>
    <w:p w:rsidR="00C37620" w:rsidRDefault="00C37620" w:rsidP="00C37620">
      <w:pPr>
        <w:pStyle w:val="NormalWeb"/>
        <w:shd w:val="clear" w:color="auto" w:fill="FFFFFF"/>
        <w:spacing w:before="0" w:beforeAutospacing="0" w:after="0" w:afterAutospacing="0"/>
        <w:rPr>
          <w:b/>
          <w:bCs/>
          <w:color w:val="990000"/>
          <w:sz w:val="22"/>
          <w:szCs w:val="22"/>
        </w:rPr>
      </w:pPr>
    </w:p>
    <w:p w:rsidR="000A77E0" w:rsidRDefault="000A77E0" w:rsidP="00C37620">
      <w:pPr>
        <w:pStyle w:val="NormalWeb"/>
        <w:shd w:val="clear" w:color="auto" w:fill="FFFFFF"/>
        <w:spacing w:before="0" w:beforeAutospacing="0" w:after="0" w:afterAutospacing="0"/>
      </w:pPr>
      <w:r>
        <w:rPr>
          <w:b/>
          <w:bCs/>
          <w:color w:val="990000"/>
          <w:sz w:val="22"/>
          <w:szCs w:val="22"/>
        </w:rPr>
        <w:t xml:space="preserve">Sexual Harassment    </w:t>
      </w:r>
    </w:p>
    <w:p w:rsidR="000A77E0" w:rsidRDefault="000A77E0" w:rsidP="00C37620">
      <w:pPr>
        <w:pStyle w:val="NormalWeb"/>
        <w:shd w:val="clear" w:color="auto" w:fill="FFFFFF"/>
        <w:spacing w:before="0" w:beforeAutospacing="0" w:after="0" w:afterAutospacing="0"/>
      </w:pPr>
      <w:r>
        <w:rPr>
          <w:color w:val="000000"/>
          <w:sz w:val="22"/>
          <w:szCs w:val="22"/>
        </w:rPr>
        <w:t xml:space="preserve">"Sexual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37" w:history="1">
        <w:r>
          <w:rPr>
            <w:rStyle w:val="Hyperlink"/>
            <w:i/>
            <w:iCs/>
            <w:color w:val="1155CC"/>
            <w:sz w:val="22"/>
            <w:szCs w:val="22"/>
          </w:rPr>
          <w:t>regents.umn.edu/sites/regents.umn.edu/files/policies/Sexual_Harassment_Sexual_Assault_Stalking_Relationship_Violence.pdf</w:t>
        </w:r>
      </w:hyperlink>
    </w:p>
    <w:p w:rsidR="00C37620" w:rsidRDefault="00C37620" w:rsidP="00C37620">
      <w:pPr>
        <w:pStyle w:val="NormalWeb"/>
        <w:shd w:val="clear" w:color="auto" w:fill="FFFFFF"/>
        <w:spacing w:before="0" w:beforeAutospacing="0" w:after="0" w:afterAutospacing="0"/>
        <w:rPr>
          <w:color w:val="000000"/>
          <w:sz w:val="22"/>
          <w:szCs w:val="22"/>
        </w:rPr>
      </w:pPr>
    </w:p>
    <w:p w:rsidR="000A77E0" w:rsidRDefault="000A77E0" w:rsidP="00C37620">
      <w:pPr>
        <w:pStyle w:val="NormalWeb"/>
        <w:shd w:val="clear" w:color="auto" w:fill="FFFFFF"/>
        <w:spacing w:before="0" w:beforeAutospacing="0" w:after="0" w:afterAutospacing="0"/>
      </w:pPr>
      <w:r>
        <w:rPr>
          <w:color w:val="000000"/>
          <w:sz w:val="22"/>
          <w:szCs w:val="22"/>
        </w:rPr>
        <w:t>University of Minnesota employees must report sexual misconduct they learn about in accordance with University policy. More information on mandated report can be found here</w:t>
      </w:r>
      <w:proofErr w:type="gramStart"/>
      <w:r>
        <w:rPr>
          <w:color w:val="000000"/>
          <w:sz w:val="22"/>
          <w:szCs w:val="22"/>
        </w:rPr>
        <w:t>:</w:t>
      </w:r>
      <w:proofErr w:type="gramEnd"/>
      <w:r w:rsidR="00F17907">
        <w:fldChar w:fldCharType="begin"/>
      </w:r>
      <w:r w:rsidR="00F7195E">
        <w:instrText>HYPERLINK "https://diversity.umn.edu/eoaa/reporting"</w:instrText>
      </w:r>
      <w:r w:rsidR="00F17907">
        <w:fldChar w:fldCharType="separate"/>
      </w:r>
      <w:r>
        <w:rPr>
          <w:rStyle w:val="Hyperlink"/>
          <w:i/>
          <w:iCs/>
          <w:sz w:val="22"/>
          <w:szCs w:val="22"/>
          <w:u w:val="none"/>
        </w:rPr>
        <w:t>diversity.umn.edu/eoaa/reporting</w:t>
      </w:r>
      <w:r w:rsidR="00F17907">
        <w:fldChar w:fldCharType="end"/>
      </w:r>
    </w:p>
    <w:p w:rsidR="00C37620" w:rsidRDefault="00C37620" w:rsidP="00C37620">
      <w:pPr>
        <w:pStyle w:val="NormalWeb"/>
        <w:shd w:val="clear" w:color="auto" w:fill="FFFFFF"/>
        <w:spacing w:before="0" w:beforeAutospacing="0" w:after="0" w:afterAutospacing="0"/>
        <w:rPr>
          <w:b/>
          <w:bCs/>
          <w:color w:val="990000"/>
          <w:sz w:val="22"/>
          <w:szCs w:val="22"/>
        </w:rPr>
      </w:pPr>
    </w:p>
    <w:p w:rsidR="000A77E0" w:rsidRDefault="000A77E0" w:rsidP="00C37620">
      <w:pPr>
        <w:pStyle w:val="NormalWeb"/>
        <w:shd w:val="clear" w:color="auto" w:fill="FFFFFF"/>
        <w:spacing w:before="0" w:beforeAutospacing="0" w:after="0" w:afterAutospacing="0"/>
      </w:pPr>
      <w:r>
        <w:rPr>
          <w:b/>
          <w:bCs/>
          <w:color w:val="990000"/>
          <w:sz w:val="22"/>
          <w:szCs w:val="22"/>
        </w:rPr>
        <w:t>Equity, Diversity, Equal Opportunity, and Affirmative Action:</w:t>
      </w:r>
    </w:p>
    <w:p w:rsidR="000A77E0" w:rsidRDefault="000A77E0" w:rsidP="00C37620">
      <w:pPr>
        <w:pStyle w:val="NormalWeb"/>
        <w:shd w:val="clear" w:color="auto" w:fill="FFFFFF"/>
        <w:spacing w:before="0" w:beforeAutospacing="0" w:after="0" w:afterAutospacing="0"/>
      </w:pPr>
      <w:r>
        <w:rPr>
          <w:color w:val="000000"/>
          <w:sz w:val="22"/>
          <w:szCs w:val="22"/>
        </w:rPr>
        <w:t>The University provides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38" w:history="1">
        <w:r>
          <w:rPr>
            <w:rStyle w:val="Hyperlink"/>
            <w:i/>
            <w:iCs/>
            <w:sz w:val="22"/>
            <w:szCs w:val="22"/>
            <w:u w:val="none"/>
          </w:rPr>
          <w:t>regents.umn.edu/sites/default/files/policies/Equity_Diversity_EO_AA.pdf</w:t>
        </w:r>
      </w:hyperlink>
      <w:r>
        <w:rPr>
          <w:color w:val="333333"/>
          <w:sz w:val="22"/>
          <w:szCs w:val="22"/>
        </w:rPr>
        <w:t>.</w:t>
      </w:r>
    </w:p>
    <w:p w:rsidR="00C37620" w:rsidRDefault="00C37620" w:rsidP="00C37620">
      <w:pPr>
        <w:pStyle w:val="NormalWeb"/>
        <w:shd w:val="clear" w:color="auto" w:fill="FFFFFF"/>
        <w:spacing w:before="0" w:beforeAutospacing="0" w:after="0" w:afterAutospacing="0"/>
        <w:rPr>
          <w:b/>
          <w:bCs/>
          <w:color w:val="990000"/>
          <w:sz w:val="22"/>
          <w:szCs w:val="22"/>
        </w:rPr>
      </w:pPr>
    </w:p>
    <w:p w:rsidR="000A77E0" w:rsidRDefault="000A77E0" w:rsidP="00C37620">
      <w:pPr>
        <w:pStyle w:val="NormalWeb"/>
        <w:shd w:val="clear" w:color="auto" w:fill="FFFFFF"/>
        <w:spacing w:before="0" w:beforeAutospacing="0" w:after="0" w:afterAutospacing="0"/>
      </w:pPr>
      <w:r>
        <w:rPr>
          <w:b/>
          <w:bCs/>
          <w:color w:val="990000"/>
          <w:sz w:val="22"/>
          <w:szCs w:val="22"/>
        </w:rPr>
        <w:t>Disability Accommodations</w:t>
      </w:r>
      <w:proofErr w:type="gramStart"/>
      <w:r>
        <w:rPr>
          <w:b/>
          <w:bCs/>
          <w:color w:val="990000"/>
          <w:sz w:val="22"/>
          <w:szCs w:val="22"/>
        </w:rPr>
        <w:t>:</w:t>
      </w:r>
      <w:proofErr w:type="gramEnd"/>
      <w:r>
        <w:rPr>
          <w:b/>
          <w:bCs/>
          <w:color w:val="990000"/>
          <w:sz w:val="22"/>
          <w:szCs w:val="22"/>
        </w:rPr>
        <w:br/>
      </w:r>
      <w:r>
        <w:rPr>
          <w:color w:val="000000"/>
          <w:sz w:val="22"/>
          <w:szCs w:val="22"/>
        </w:rPr>
        <w:t xml:space="preserve">The University of Minnesota is committed to providing equitable access to learning opportunities for all students. The Disability Resource Center is the campus office that collaborates with students who have disabilities to provide and/or arrange reasonable accommodations. If you have, or think you may have, a disability (e.g., mental health, </w:t>
      </w:r>
      <w:proofErr w:type="spellStart"/>
      <w:r>
        <w:rPr>
          <w:color w:val="000000"/>
          <w:sz w:val="22"/>
          <w:szCs w:val="22"/>
        </w:rPr>
        <w:t>attentional</w:t>
      </w:r>
      <w:proofErr w:type="spellEnd"/>
      <w:r>
        <w:rPr>
          <w:color w:val="000000"/>
          <w:sz w:val="22"/>
          <w:szCs w:val="22"/>
        </w:rPr>
        <w:t>, learning, chronic health, sensory, or physical), please contact DS at 612-626-1333 to arrange a confidential discussion regarding equitable access and reasonable accommodations.</w:t>
      </w:r>
      <w:r>
        <w:rPr>
          <w:b/>
          <w:bCs/>
          <w:color w:val="000000"/>
          <w:sz w:val="22"/>
          <w:szCs w:val="22"/>
        </w:rPr>
        <w:t xml:space="preserve"> </w:t>
      </w:r>
      <w:r>
        <w:rPr>
          <w:color w:val="000000"/>
          <w:sz w:val="22"/>
          <w:szCs w:val="22"/>
        </w:rPr>
        <w:t>If you are registered with DS and have a current letter requesting reasonable accommodations, please contact your instructor as early in the semester as possible to discuss how the accommodations will be applied in the course.</w:t>
      </w:r>
    </w:p>
    <w:p w:rsidR="000A77E0" w:rsidRDefault="000A77E0" w:rsidP="00C37620">
      <w:pPr>
        <w:pStyle w:val="NormalWeb"/>
        <w:shd w:val="clear" w:color="auto" w:fill="FFFFFF"/>
        <w:spacing w:before="0" w:beforeAutospacing="0" w:after="0" w:afterAutospacing="0"/>
      </w:pPr>
      <w:r>
        <w:rPr>
          <w:color w:val="000000"/>
          <w:sz w:val="22"/>
          <w:szCs w:val="22"/>
        </w:rPr>
        <w:t>For more information, please see the DS website: </w:t>
      </w:r>
      <w:hyperlink r:id="rId39" w:history="1">
        <w:r>
          <w:rPr>
            <w:rStyle w:val="Hyperlink"/>
            <w:i/>
            <w:iCs/>
            <w:sz w:val="22"/>
            <w:szCs w:val="22"/>
            <w:u w:val="none"/>
          </w:rPr>
          <w:t>diversity.umn.edu/disability/</w:t>
        </w:r>
      </w:hyperlink>
      <w:r>
        <w:rPr>
          <w:color w:val="333333"/>
          <w:sz w:val="22"/>
          <w:szCs w:val="22"/>
        </w:rPr>
        <w:t>.</w:t>
      </w:r>
    </w:p>
    <w:p w:rsidR="00C37620" w:rsidRDefault="00C37620" w:rsidP="00C37620">
      <w:pPr>
        <w:pStyle w:val="NormalWeb"/>
        <w:shd w:val="clear" w:color="auto" w:fill="FFFFFF"/>
        <w:spacing w:before="0" w:beforeAutospacing="0" w:after="0" w:afterAutospacing="0"/>
        <w:rPr>
          <w:b/>
          <w:bCs/>
          <w:color w:val="990000"/>
          <w:sz w:val="22"/>
          <w:szCs w:val="22"/>
        </w:rPr>
      </w:pPr>
    </w:p>
    <w:p w:rsidR="000A77E0" w:rsidRDefault="000A77E0" w:rsidP="00C37620">
      <w:pPr>
        <w:pStyle w:val="NormalWeb"/>
        <w:shd w:val="clear" w:color="auto" w:fill="FFFFFF"/>
        <w:spacing w:before="0" w:beforeAutospacing="0" w:after="0" w:afterAutospacing="0"/>
      </w:pPr>
      <w:r>
        <w:rPr>
          <w:b/>
          <w:bCs/>
          <w:color w:val="990000"/>
          <w:sz w:val="22"/>
          <w:szCs w:val="22"/>
        </w:rPr>
        <w:t>Mental Health and Stress Management:</w:t>
      </w:r>
    </w:p>
    <w:p w:rsidR="000A77E0" w:rsidRDefault="000A77E0" w:rsidP="00C37620">
      <w:pPr>
        <w:pStyle w:val="NormalWeb"/>
        <w:shd w:val="clear" w:color="auto" w:fill="FFFFFF"/>
        <w:spacing w:before="0" w:beforeAutospacing="0" w:after="0" w:afterAutospacing="0"/>
      </w:pPr>
      <w:r>
        <w:rPr>
          <w:color w:val="000000"/>
          <w:sz w:val="22"/>
          <w:szCs w:val="22"/>
        </w:rPr>
        <w:t xml:space="preserve">As a student you may experience a range of issues that can cause barriers to learning, such as strained relationships, increased anxiety, alcohol/drug problems, </w:t>
      </w:r>
      <w:proofErr w:type="gramStart"/>
      <w:r>
        <w:rPr>
          <w:color w:val="000000"/>
          <w:sz w:val="22"/>
          <w:szCs w:val="22"/>
        </w:rPr>
        <w:t>feeling</w:t>
      </w:r>
      <w:proofErr w:type="gramEnd"/>
      <w:r>
        <w:rPr>
          <w:color w:val="000000"/>
          <w:sz w:val="22"/>
          <w:szCs w:val="22"/>
        </w:rPr>
        <w:t xml:space="preserve"> down, difficulty concentrating and/or lack </w:t>
      </w:r>
      <w:r>
        <w:rPr>
          <w:color w:val="000000"/>
          <w:sz w:val="22"/>
          <w:szCs w:val="22"/>
        </w:rPr>
        <w:lastRenderedPageBreak/>
        <w:t>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t>
      </w:r>
      <w:hyperlink r:id="rId40" w:history="1">
        <w:r>
          <w:rPr>
            <w:rStyle w:val="Hyperlink"/>
            <w:i/>
            <w:iCs/>
            <w:sz w:val="22"/>
            <w:szCs w:val="22"/>
            <w:u w:val="none"/>
          </w:rPr>
          <w:t>mentalhealth.umn.edu</w:t>
        </w:r>
      </w:hyperlink>
      <w:r>
        <w:rPr>
          <w:color w:val="333333"/>
          <w:sz w:val="22"/>
          <w:szCs w:val="22"/>
        </w:rPr>
        <w:t>.</w:t>
      </w:r>
    </w:p>
    <w:p w:rsidR="00C37620" w:rsidRDefault="00C37620" w:rsidP="00C37620">
      <w:pPr>
        <w:pStyle w:val="NormalWeb"/>
        <w:shd w:val="clear" w:color="auto" w:fill="FFFFFF"/>
        <w:spacing w:before="0" w:beforeAutospacing="0" w:after="0" w:afterAutospacing="0"/>
        <w:rPr>
          <w:b/>
          <w:bCs/>
          <w:color w:val="990000"/>
          <w:sz w:val="22"/>
          <w:szCs w:val="22"/>
        </w:rPr>
      </w:pPr>
    </w:p>
    <w:p w:rsidR="000A77E0" w:rsidRDefault="000A77E0" w:rsidP="00C37620">
      <w:pPr>
        <w:pStyle w:val="NormalWeb"/>
        <w:shd w:val="clear" w:color="auto" w:fill="FFFFFF"/>
        <w:spacing w:before="0" w:beforeAutospacing="0" w:after="0" w:afterAutospacing="0"/>
      </w:pPr>
      <w:r>
        <w:rPr>
          <w:b/>
          <w:bCs/>
          <w:color w:val="990000"/>
          <w:sz w:val="22"/>
          <w:szCs w:val="22"/>
        </w:rPr>
        <w:t>Academic Freedom and Responsibility</w:t>
      </w:r>
      <w:proofErr w:type="gramStart"/>
      <w:r>
        <w:rPr>
          <w:b/>
          <w:bCs/>
          <w:color w:val="990000"/>
          <w:sz w:val="22"/>
          <w:szCs w:val="22"/>
        </w:rPr>
        <w:t>:</w:t>
      </w:r>
      <w:proofErr w:type="gramEnd"/>
      <w:r>
        <w:rPr>
          <w:b/>
          <w:bCs/>
          <w:color w:val="990000"/>
          <w:sz w:val="22"/>
          <w:szCs w:val="22"/>
        </w:rPr>
        <w:br/>
      </w:r>
      <w:r>
        <w:rPr>
          <w:color w:val="000000"/>
          <w:sz w:val="22"/>
          <w:szCs w:val="22"/>
        </w:rP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rsidR="000A77E0" w:rsidRDefault="000A77E0" w:rsidP="00C37620">
      <w:pPr>
        <w:pStyle w:val="NormalWeb"/>
        <w:shd w:val="clear" w:color="auto" w:fill="FFFFFF"/>
        <w:spacing w:before="0" w:beforeAutospacing="0" w:after="0" w:afterAutospacing="0"/>
      </w:pPr>
      <w:r>
        <w:rPr>
          <w:color w:val="000000"/>
          <w:sz w:val="22"/>
          <w:szCs w:val="22"/>
        </w:rPr>
        <w:t>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p>
    <w:p w:rsidR="000A77E0" w:rsidRDefault="000A77E0" w:rsidP="00C37620">
      <w:pPr>
        <w:pStyle w:val="NormalWeb"/>
        <w:shd w:val="clear" w:color="auto" w:fill="FFFFFF"/>
        <w:spacing w:before="0" w:beforeAutospacing="0" w:after="0" w:afterAutospacing="0"/>
      </w:pPr>
      <w:r>
        <w:rPr>
          <w:color w:val="000000"/>
          <w:sz w:val="22"/>
          <w:szCs w:val="22"/>
        </w:rPr>
        <w:t>Students are responsible for class attendance and all course requirements, including deadlines and examinations. The instructor will specify if class attendance is required or counted in the grade for the class.</w:t>
      </w:r>
    </w:p>
    <w:p w:rsidR="00705A15" w:rsidRDefault="00705A15" w:rsidP="00C37620">
      <w:pPr>
        <w:pStyle w:val="NormalWeb"/>
        <w:shd w:val="clear" w:color="auto" w:fill="FFFFFF"/>
        <w:spacing w:before="0" w:beforeAutospacing="0" w:after="0" w:afterAutospacing="0"/>
        <w:rPr>
          <w:b/>
          <w:bCs/>
          <w:color w:val="000000"/>
          <w:sz w:val="22"/>
          <w:szCs w:val="22"/>
        </w:rPr>
      </w:pPr>
    </w:p>
    <w:p w:rsidR="000A77E0" w:rsidRDefault="000A77E0" w:rsidP="00C37620">
      <w:pPr>
        <w:pStyle w:val="NormalWeb"/>
        <w:shd w:val="clear" w:color="auto" w:fill="FFFFFF"/>
        <w:spacing w:before="0" w:beforeAutospacing="0" w:after="0" w:afterAutospacing="0"/>
      </w:pPr>
      <w:r>
        <w:rPr>
          <w:b/>
          <w:bCs/>
          <w:color w:val="000000"/>
          <w:sz w:val="22"/>
          <w:szCs w:val="22"/>
        </w:rPr>
        <w:t>Health and Safety</w:t>
      </w:r>
      <w:r>
        <w:rPr>
          <w:b/>
          <w:bCs/>
          <w:color w:val="000000"/>
          <w:sz w:val="22"/>
          <w:szCs w:val="22"/>
        </w:rPr>
        <w:br/>
      </w:r>
      <w:proofErr w:type="gramStart"/>
      <w:r>
        <w:rPr>
          <w:color w:val="000000"/>
          <w:sz w:val="22"/>
          <w:szCs w:val="22"/>
        </w:rPr>
        <w:t>The</w:t>
      </w:r>
      <w:proofErr w:type="gramEnd"/>
      <w:r>
        <w:rPr>
          <w:color w:val="000000"/>
          <w:sz w:val="22"/>
          <w:szCs w:val="22"/>
        </w:rPr>
        <w:t xml:space="preserve"> University of Minnesota is committed to maintaining a healthy and safe environment for students. Information about policies, procedures, and emergency plans can be found at:</w:t>
      </w:r>
    </w:p>
    <w:p w:rsidR="000A77E0" w:rsidRDefault="000A77E0" w:rsidP="00C37620">
      <w:pPr>
        <w:pStyle w:val="NormalWeb"/>
        <w:shd w:val="clear" w:color="auto" w:fill="FFFFFF"/>
        <w:spacing w:before="0" w:beforeAutospacing="0" w:after="0" w:afterAutospacing="0"/>
      </w:pPr>
      <w:r>
        <w:rPr>
          <w:color w:val="000000"/>
          <w:sz w:val="22"/>
          <w:szCs w:val="22"/>
        </w:rPr>
        <w:t xml:space="preserve">University Health and Safety: </w:t>
      </w:r>
      <w:hyperlink r:id="rId41" w:history="1">
        <w:r>
          <w:rPr>
            <w:rStyle w:val="Hyperlink"/>
            <w:i/>
            <w:iCs/>
            <w:color w:val="1155CC"/>
            <w:sz w:val="22"/>
            <w:szCs w:val="22"/>
          </w:rPr>
          <w:t>uhs.umn.edu/</w:t>
        </w:r>
        <w:proofErr w:type="spellStart"/>
        <w:r>
          <w:rPr>
            <w:rStyle w:val="Hyperlink"/>
            <w:i/>
            <w:iCs/>
            <w:color w:val="1155CC"/>
            <w:sz w:val="22"/>
            <w:szCs w:val="22"/>
          </w:rPr>
          <w:t>uhs</w:t>
        </w:r>
        <w:proofErr w:type="spellEnd"/>
        <w:r>
          <w:rPr>
            <w:rStyle w:val="Hyperlink"/>
            <w:i/>
            <w:iCs/>
            <w:color w:val="1155CC"/>
            <w:sz w:val="22"/>
            <w:szCs w:val="22"/>
          </w:rPr>
          <w:t>/welcome</w:t>
        </w:r>
      </w:hyperlink>
    </w:p>
    <w:p w:rsidR="000A77E0" w:rsidRDefault="000A77E0" w:rsidP="00C37620">
      <w:pPr>
        <w:pStyle w:val="NormalWeb"/>
        <w:shd w:val="clear" w:color="auto" w:fill="FFFFFF"/>
        <w:spacing w:before="0" w:beforeAutospacing="0" w:after="0" w:afterAutospacing="0"/>
      </w:pPr>
      <w:r>
        <w:rPr>
          <w:color w:val="000000"/>
          <w:sz w:val="22"/>
          <w:szCs w:val="22"/>
        </w:rPr>
        <w:t xml:space="preserve">Department of Emergency Management: </w:t>
      </w:r>
      <w:hyperlink r:id="rId42" w:history="1">
        <w:r>
          <w:rPr>
            <w:rStyle w:val="Hyperlink"/>
            <w:i/>
            <w:iCs/>
            <w:color w:val="1155CC"/>
            <w:sz w:val="22"/>
            <w:szCs w:val="22"/>
          </w:rPr>
          <w:t>dem.umn.edu/welcome</w:t>
        </w:r>
      </w:hyperlink>
    </w:p>
    <w:p w:rsidR="00287A27" w:rsidRPr="00AB27C9" w:rsidRDefault="00287A27" w:rsidP="00C37620"/>
    <w:sectPr w:rsidR="00287A27" w:rsidRPr="00AB27C9" w:rsidSect="00DC3177">
      <w:foot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751" w:rsidRDefault="000C5751" w:rsidP="00774B14">
      <w:r>
        <w:separator/>
      </w:r>
    </w:p>
  </w:endnote>
  <w:endnote w:type="continuationSeparator" w:id="0">
    <w:p w:rsidR="000C5751" w:rsidRDefault="000C5751" w:rsidP="00774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Garamond-Bold">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aramond-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501860"/>
      <w:docPartObj>
        <w:docPartGallery w:val="Page Numbers (Bottom of Page)"/>
        <w:docPartUnique/>
      </w:docPartObj>
    </w:sdtPr>
    <w:sdtContent>
      <w:p w:rsidR="00602C34" w:rsidRDefault="00F17907">
        <w:pPr>
          <w:pStyle w:val="Footer"/>
          <w:jc w:val="center"/>
        </w:pPr>
        <w:fldSimple w:instr=" PAGE   \* MERGEFORMAT ">
          <w:r w:rsidR="00FD633C">
            <w:rPr>
              <w:noProof/>
            </w:rPr>
            <w:t>10</w:t>
          </w:r>
        </w:fldSimple>
      </w:p>
    </w:sdtContent>
  </w:sdt>
  <w:p w:rsidR="00602C34" w:rsidRDefault="00602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751" w:rsidRDefault="000C5751" w:rsidP="00774B14">
      <w:r>
        <w:separator/>
      </w:r>
    </w:p>
  </w:footnote>
  <w:footnote w:type="continuationSeparator" w:id="0">
    <w:p w:rsidR="000C5751" w:rsidRDefault="000C5751" w:rsidP="00774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142"/>
    <w:multiLevelType w:val="hybridMultilevel"/>
    <w:tmpl w:val="938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3F45"/>
    <w:multiLevelType w:val="hybridMultilevel"/>
    <w:tmpl w:val="163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E3561"/>
    <w:multiLevelType w:val="hybridMultilevel"/>
    <w:tmpl w:val="563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55B73"/>
    <w:multiLevelType w:val="hybridMultilevel"/>
    <w:tmpl w:val="08C236AA"/>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E429F"/>
    <w:multiLevelType w:val="hybridMultilevel"/>
    <w:tmpl w:val="45846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6D3C18"/>
    <w:multiLevelType w:val="hybridMultilevel"/>
    <w:tmpl w:val="4B486D2E"/>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13357"/>
    <w:multiLevelType w:val="hybridMultilevel"/>
    <w:tmpl w:val="41501086"/>
    <w:lvl w:ilvl="0" w:tplc="0848288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43910"/>
    <w:multiLevelType w:val="hybridMultilevel"/>
    <w:tmpl w:val="563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26FFB"/>
    <w:multiLevelType w:val="hybridMultilevel"/>
    <w:tmpl w:val="9FF067E8"/>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B40C7"/>
    <w:multiLevelType w:val="hybridMultilevel"/>
    <w:tmpl w:val="A78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462E5"/>
    <w:multiLevelType w:val="hybridMultilevel"/>
    <w:tmpl w:val="E162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7594E"/>
    <w:multiLevelType w:val="hybridMultilevel"/>
    <w:tmpl w:val="F7E6E536"/>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D3AF8"/>
    <w:multiLevelType w:val="hybridMultilevel"/>
    <w:tmpl w:val="A104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E6026"/>
    <w:multiLevelType w:val="hybridMultilevel"/>
    <w:tmpl w:val="9690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E66B1"/>
    <w:multiLevelType w:val="hybridMultilevel"/>
    <w:tmpl w:val="BFF0F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6508C"/>
    <w:multiLevelType w:val="multilevel"/>
    <w:tmpl w:val="8AC4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51422"/>
    <w:multiLevelType w:val="hybridMultilevel"/>
    <w:tmpl w:val="424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84E18"/>
    <w:multiLevelType w:val="hybridMultilevel"/>
    <w:tmpl w:val="5F8A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9206B"/>
    <w:multiLevelType w:val="hybridMultilevel"/>
    <w:tmpl w:val="BCB0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F630E"/>
    <w:multiLevelType w:val="hybridMultilevel"/>
    <w:tmpl w:val="CDC4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5498A"/>
    <w:multiLevelType w:val="hybridMultilevel"/>
    <w:tmpl w:val="D9D8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E6161"/>
    <w:multiLevelType w:val="hybridMultilevel"/>
    <w:tmpl w:val="338E26AA"/>
    <w:lvl w:ilvl="0" w:tplc="D194D2F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63517"/>
    <w:multiLevelType w:val="hybridMultilevel"/>
    <w:tmpl w:val="3C782C86"/>
    <w:lvl w:ilvl="0" w:tplc="E86631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C0AD1"/>
    <w:multiLevelType w:val="hybridMultilevel"/>
    <w:tmpl w:val="4B683396"/>
    <w:lvl w:ilvl="0" w:tplc="DBC49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E03A38"/>
    <w:multiLevelType w:val="hybridMultilevel"/>
    <w:tmpl w:val="5A72332E"/>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F1115"/>
    <w:multiLevelType w:val="hybridMultilevel"/>
    <w:tmpl w:val="85FC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377C9"/>
    <w:multiLevelType w:val="hybridMultilevel"/>
    <w:tmpl w:val="5328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75B90"/>
    <w:multiLevelType w:val="hybridMultilevel"/>
    <w:tmpl w:val="FE905D22"/>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2C1F5D"/>
    <w:multiLevelType w:val="hybridMultilevel"/>
    <w:tmpl w:val="BF7C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0E0C61"/>
    <w:multiLevelType w:val="hybridMultilevel"/>
    <w:tmpl w:val="84EA644A"/>
    <w:lvl w:ilvl="0" w:tplc="D194D2F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DA5AD7"/>
    <w:multiLevelType w:val="hybridMultilevel"/>
    <w:tmpl w:val="B5C00AF0"/>
    <w:lvl w:ilvl="0" w:tplc="7890D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90893"/>
    <w:multiLevelType w:val="hybridMultilevel"/>
    <w:tmpl w:val="0D3E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A4C0A"/>
    <w:multiLevelType w:val="hybridMultilevel"/>
    <w:tmpl w:val="6200013C"/>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AA423C"/>
    <w:multiLevelType w:val="hybridMultilevel"/>
    <w:tmpl w:val="9BAA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3124C"/>
    <w:multiLevelType w:val="hybridMultilevel"/>
    <w:tmpl w:val="50F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562B6"/>
    <w:multiLevelType w:val="hybridMultilevel"/>
    <w:tmpl w:val="35D6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F6B0D"/>
    <w:multiLevelType w:val="hybridMultilevel"/>
    <w:tmpl w:val="B84CE8A8"/>
    <w:lvl w:ilvl="0" w:tplc="76EEF4C4">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832ED"/>
    <w:multiLevelType w:val="hybridMultilevel"/>
    <w:tmpl w:val="E73CA276"/>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108D2"/>
    <w:multiLevelType w:val="hybridMultilevel"/>
    <w:tmpl w:val="8DA4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7C58B2"/>
    <w:multiLevelType w:val="hybridMultilevel"/>
    <w:tmpl w:val="B9BABBEE"/>
    <w:lvl w:ilvl="0" w:tplc="D194D2F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36288"/>
    <w:multiLevelType w:val="hybridMultilevel"/>
    <w:tmpl w:val="8318BD44"/>
    <w:lvl w:ilvl="0" w:tplc="D194D2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B34B45"/>
    <w:multiLevelType w:val="hybridMultilevel"/>
    <w:tmpl w:val="E71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F2290"/>
    <w:multiLevelType w:val="hybridMultilevel"/>
    <w:tmpl w:val="055E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
  </w:num>
  <w:num w:numId="3">
    <w:abstractNumId w:val="11"/>
  </w:num>
  <w:num w:numId="4">
    <w:abstractNumId w:val="5"/>
  </w:num>
  <w:num w:numId="5">
    <w:abstractNumId w:val="39"/>
  </w:num>
  <w:num w:numId="6">
    <w:abstractNumId w:val="18"/>
  </w:num>
  <w:num w:numId="7">
    <w:abstractNumId w:val="38"/>
  </w:num>
  <w:num w:numId="8">
    <w:abstractNumId w:val="32"/>
  </w:num>
  <w:num w:numId="9">
    <w:abstractNumId w:val="26"/>
  </w:num>
  <w:num w:numId="10">
    <w:abstractNumId w:val="29"/>
  </w:num>
  <w:num w:numId="11">
    <w:abstractNumId w:val="2"/>
  </w:num>
  <w:num w:numId="12">
    <w:abstractNumId w:val="30"/>
  </w:num>
  <w:num w:numId="13">
    <w:abstractNumId w:val="8"/>
  </w:num>
  <w:num w:numId="14">
    <w:abstractNumId w:val="24"/>
  </w:num>
  <w:num w:numId="15">
    <w:abstractNumId w:val="23"/>
  </w:num>
  <w:num w:numId="16">
    <w:abstractNumId w:val="20"/>
  </w:num>
  <w:num w:numId="17">
    <w:abstractNumId w:val="28"/>
  </w:num>
  <w:num w:numId="18">
    <w:abstractNumId w:val="19"/>
  </w:num>
  <w:num w:numId="19">
    <w:abstractNumId w:val="35"/>
  </w:num>
  <w:num w:numId="20">
    <w:abstractNumId w:val="34"/>
  </w:num>
  <w:num w:numId="21">
    <w:abstractNumId w:val="9"/>
  </w:num>
  <w:num w:numId="22">
    <w:abstractNumId w:val="1"/>
  </w:num>
  <w:num w:numId="23">
    <w:abstractNumId w:val="16"/>
  </w:num>
  <w:num w:numId="24">
    <w:abstractNumId w:val="0"/>
  </w:num>
  <w:num w:numId="25">
    <w:abstractNumId w:val="12"/>
  </w:num>
  <w:num w:numId="26">
    <w:abstractNumId w:val="17"/>
  </w:num>
  <w:num w:numId="27">
    <w:abstractNumId w:val="10"/>
  </w:num>
  <w:num w:numId="28">
    <w:abstractNumId w:val="4"/>
  </w:num>
  <w:num w:numId="29">
    <w:abstractNumId w:val="13"/>
  </w:num>
  <w:num w:numId="30">
    <w:abstractNumId w:val="25"/>
  </w:num>
  <w:num w:numId="31">
    <w:abstractNumId w:val="33"/>
  </w:num>
  <w:num w:numId="32">
    <w:abstractNumId w:val="31"/>
  </w:num>
  <w:num w:numId="33">
    <w:abstractNumId w:val="42"/>
  </w:num>
  <w:num w:numId="34">
    <w:abstractNumId w:val="14"/>
  </w:num>
  <w:num w:numId="35">
    <w:abstractNumId w:val="41"/>
  </w:num>
  <w:num w:numId="36">
    <w:abstractNumId w:val="7"/>
  </w:num>
  <w:num w:numId="37">
    <w:abstractNumId w:val="27"/>
  </w:num>
  <w:num w:numId="38">
    <w:abstractNumId w:val="37"/>
  </w:num>
  <w:num w:numId="39">
    <w:abstractNumId w:val="3"/>
  </w:num>
  <w:num w:numId="40">
    <w:abstractNumId w:val="40"/>
  </w:num>
  <w:num w:numId="41">
    <w:abstractNumId w:val="21"/>
  </w:num>
  <w:num w:numId="42">
    <w:abstractNumId w:val="15"/>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613B51"/>
    <w:rsid w:val="00001999"/>
    <w:rsid w:val="00013613"/>
    <w:rsid w:val="00024B87"/>
    <w:rsid w:val="00024C4F"/>
    <w:rsid w:val="00032EB7"/>
    <w:rsid w:val="00047D11"/>
    <w:rsid w:val="00047E89"/>
    <w:rsid w:val="00050E90"/>
    <w:rsid w:val="00061333"/>
    <w:rsid w:val="00064419"/>
    <w:rsid w:val="00066338"/>
    <w:rsid w:val="0006738A"/>
    <w:rsid w:val="00076395"/>
    <w:rsid w:val="00077168"/>
    <w:rsid w:val="00081557"/>
    <w:rsid w:val="0008458A"/>
    <w:rsid w:val="00087FC6"/>
    <w:rsid w:val="00095E3B"/>
    <w:rsid w:val="000A3753"/>
    <w:rsid w:val="000A77E0"/>
    <w:rsid w:val="000B0E20"/>
    <w:rsid w:val="000B179D"/>
    <w:rsid w:val="000B26C5"/>
    <w:rsid w:val="000B4874"/>
    <w:rsid w:val="000B6054"/>
    <w:rsid w:val="000B7141"/>
    <w:rsid w:val="000C149D"/>
    <w:rsid w:val="000C24FA"/>
    <w:rsid w:val="000C5751"/>
    <w:rsid w:val="000E2831"/>
    <w:rsid w:val="000E2BE5"/>
    <w:rsid w:val="000E431B"/>
    <w:rsid w:val="000E6BBB"/>
    <w:rsid w:val="000F4789"/>
    <w:rsid w:val="000F4DCE"/>
    <w:rsid w:val="0011048E"/>
    <w:rsid w:val="00110A58"/>
    <w:rsid w:val="001142B9"/>
    <w:rsid w:val="00130CBF"/>
    <w:rsid w:val="00131487"/>
    <w:rsid w:val="0013314F"/>
    <w:rsid w:val="0013371A"/>
    <w:rsid w:val="00144B9C"/>
    <w:rsid w:val="00144ED1"/>
    <w:rsid w:val="00151BAD"/>
    <w:rsid w:val="00156582"/>
    <w:rsid w:val="00176110"/>
    <w:rsid w:val="001B50E3"/>
    <w:rsid w:val="001C3A56"/>
    <w:rsid w:val="001C4BE4"/>
    <w:rsid w:val="001C64DD"/>
    <w:rsid w:val="001E12C2"/>
    <w:rsid w:val="001F27F7"/>
    <w:rsid w:val="001F4E80"/>
    <w:rsid w:val="00204F13"/>
    <w:rsid w:val="00206752"/>
    <w:rsid w:val="0022044B"/>
    <w:rsid w:val="0022520D"/>
    <w:rsid w:val="00226B4D"/>
    <w:rsid w:val="00233382"/>
    <w:rsid w:val="00234DB3"/>
    <w:rsid w:val="0023558C"/>
    <w:rsid w:val="00236304"/>
    <w:rsid w:val="00242D9E"/>
    <w:rsid w:val="0024325B"/>
    <w:rsid w:val="0025594E"/>
    <w:rsid w:val="002636E0"/>
    <w:rsid w:val="002708CF"/>
    <w:rsid w:val="002745BE"/>
    <w:rsid w:val="00286E63"/>
    <w:rsid w:val="00287A27"/>
    <w:rsid w:val="002945D6"/>
    <w:rsid w:val="0029750D"/>
    <w:rsid w:val="002A0947"/>
    <w:rsid w:val="002A386F"/>
    <w:rsid w:val="002B3D37"/>
    <w:rsid w:val="002B6255"/>
    <w:rsid w:val="002B7A0A"/>
    <w:rsid w:val="002C282D"/>
    <w:rsid w:val="002C64DE"/>
    <w:rsid w:val="002D37C3"/>
    <w:rsid w:val="002D5FD6"/>
    <w:rsid w:val="002D76AA"/>
    <w:rsid w:val="002E20AB"/>
    <w:rsid w:val="002F0139"/>
    <w:rsid w:val="002F14D8"/>
    <w:rsid w:val="003024EF"/>
    <w:rsid w:val="00304DBB"/>
    <w:rsid w:val="0030558C"/>
    <w:rsid w:val="003124A3"/>
    <w:rsid w:val="00314B53"/>
    <w:rsid w:val="003159E6"/>
    <w:rsid w:val="00324B79"/>
    <w:rsid w:val="0032764C"/>
    <w:rsid w:val="003342D5"/>
    <w:rsid w:val="003414A6"/>
    <w:rsid w:val="00343DC6"/>
    <w:rsid w:val="003447C8"/>
    <w:rsid w:val="00353917"/>
    <w:rsid w:val="003621BA"/>
    <w:rsid w:val="00362357"/>
    <w:rsid w:val="003652C2"/>
    <w:rsid w:val="0036542E"/>
    <w:rsid w:val="00371081"/>
    <w:rsid w:val="00381B68"/>
    <w:rsid w:val="00384BD9"/>
    <w:rsid w:val="003864A8"/>
    <w:rsid w:val="003A0FB6"/>
    <w:rsid w:val="003A5C7E"/>
    <w:rsid w:val="003B0830"/>
    <w:rsid w:val="003B1422"/>
    <w:rsid w:val="003B3F7B"/>
    <w:rsid w:val="003C2668"/>
    <w:rsid w:val="003C6044"/>
    <w:rsid w:val="003C6DE3"/>
    <w:rsid w:val="003D340C"/>
    <w:rsid w:val="003E3B9E"/>
    <w:rsid w:val="003E53A9"/>
    <w:rsid w:val="003E75FF"/>
    <w:rsid w:val="003F438A"/>
    <w:rsid w:val="003F7CF1"/>
    <w:rsid w:val="00400313"/>
    <w:rsid w:val="00406295"/>
    <w:rsid w:val="004062ED"/>
    <w:rsid w:val="0041072B"/>
    <w:rsid w:val="004205DB"/>
    <w:rsid w:val="00420C67"/>
    <w:rsid w:val="00423588"/>
    <w:rsid w:val="00431170"/>
    <w:rsid w:val="004373B1"/>
    <w:rsid w:val="00442612"/>
    <w:rsid w:val="004435D1"/>
    <w:rsid w:val="004439B6"/>
    <w:rsid w:val="00444012"/>
    <w:rsid w:val="0044498B"/>
    <w:rsid w:val="004452AC"/>
    <w:rsid w:val="00445B27"/>
    <w:rsid w:val="00454480"/>
    <w:rsid w:val="00454ECD"/>
    <w:rsid w:val="00455734"/>
    <w:rsid w:val="00456E3B"/>
    <w:rsid w:val="00456F3D"/>
    <w:rsid w:val="00460DF5"/>
    <w:rsid w:val="00461F3F"/>
    <w:rsid w:val="00471D23"/>
    <w:rsid w:val="004722B4"/>
    <w:rsid w:val="00473719"/>
    <w:rsid w:val="00476581"/>
    <w:rsid w:val="004801F6"/>
    <w:rsid w:val="00492E6E"/>
    <w:rsid w:val="00497155"/>
    <w:rsid w:val="004977FE"/>
    <w:rsid w:val="004A49AB"/>
    <w:rsid w:val="004A7A2A"/>
    <w:rsid w:val="004B0322"/>
    <w:rsid w:val="004B099C"/>
    <w:rsid w:val="004B4BB8"/>
    <w:rsid w:val="004C113D"/>
    <w:rsid w:val="004C1952"/>
    <w:rsid w:val="004C2492"/>
    <w:rsid w:val="004C3251"/>
    <w:rsid w:val="004C533D"/>
    <w:rsid w:val="004D163E"/>
    <w:rsid w:val="004E1AA4"/>
    <w:rsid w:val="004E6262"/>
    <w:rsid w:val="004F2831"/>
    <w:rsid w:val="00501F7B"/>
    <w:rsid w:val="00505F9C"/>
    <w:rsid w:val="00506747"/>
    <w:rsid w:val="005170C7"/>
    <w:rsid w:val="0051793D"/>
    <w:rsid w:val="0052328F"/>
    <w:rsid w:val="005269E3"/>
    <w:rsid w:val="00543B79"/>
    <w:rsid w:val="00552D67"/>
    <w:rsid w:val="005550EE"/>
    <w:rsid w:val="00557FCF"/>
    <w:rsid w:val="00562E2F"/>
    <w:rsid w:val="0057009F"/>
    <w:rsid w:val="00572CBF"/>
    <w:rsid w:val="00576366"/>
    <w:rsid w:val="0057680D"/>
    <w:rsid w:val="00576A35"/>
    <w:rsid w:val="00580C94"/>
    <w:rsid w:val="005822F8"/>
    <w:rsid w:val="00590257"/>
    <w:rsid w:val="00596580"/>
    <w:rsid w:val="00597702"/>
    <w:rsid w:val="005A6F33"/>
    <w:rsid w:val="005B138B"/>
    <w:rsid w:val="005B18BF"/>
    <w:rsid w:val="005B25CD"/>
    <w:rsid w:val="005B2B0B"/>
    <w:rsid w:val="005C2469"/>
    <w:rsid w:val="005C39A0"/>
    <w:rsid w:val="005D428E"/>
    <w:rsid w:val="005D5A46"/>
    <w:rsid w:val="005E1E55"/>
    <w:rsid w:val="005F0652"/>
    <w:rsid w:val="005F4740"/>
    <w:rsid w:val="00602C34"/>
    <w:rsid w:val="00606B4B"/>
    <w:rsid w:val="00607D02"/>
    <w:rsid w:val="00613B51"/>
    <w:rsid w:val="00623995"/>
    <w:rsid w:val="00650563"/>
    <w:rsid w:val="0065085E"/>
    <w:rsid w:val="00651034"/>
    <w:rsid w:val="00652095"/>
    <w:rsid w:val="00654EC2"/>
    <w:rsid w:val="00657D2D"/>
    <w:rsid w:val="00662502"/>
    <w:rsid w:val="00665CAE"/>
    <w:rsid w:val="00667422"/>
    <w:rsid w:val="00667EFD"/>
    <w:rsid w:val="00670DC8"/>
    <w:rsid w:val="00676850"/>
    <w:rsid w:val="00680A6E"/>
    <w:rsid w:val="00682C99"/>
    <w:rsid w:val="006853B0"/>
    <w:rsid w:val="0068610E"/>
    <w:rsid w:val="00687FD7"/>
    <w:rsid w:val="00692A55"/>
    <w:rsid w:val="006A0765"/>
    <w:rsid w:val="006A253F"/>
    <w:rsid w:val="006B54E8"/>
    <w:rsid w:val="006B6B23"/>
    <w:rsid w:val="006B7FDE"/>
    <w:rsid w:val="006C241F"/>
    <w:rsid w:val="006C30E4"/>
    <w:rsid w:val="006D233B"/>
    <w:rsid w:val="006D65A7"/>
    <w:rsid w:val="006E4EEA"/>
    <w:rsid w:val="006F1B99"/>
    <w:rsid w:val="006F4047"/>
    <w:rsid w:val="006F6691"/>
    <w:rsid w:val="00700656"/>
    <w:rsid w:val="0070215B"/>
    <w:rsid w:val="00704498"/>
    <w:rsid w:val="00705A15"/>
    <w:rsid w:val="00707715"/>
    <w:rsid w:val="00710310"/>
    <w:rsid w:val="007226C8"/>
    <w:rsid w:val="00732C08"/>
    <w:rsid w:val="007330EA"/>
    <w:rsid w:val="0074488D"/>
    <w:rsid w:val="007475CC"/>
    <w:rsid w:val="0075157C"/>
    <w:rsid w:val="0075569D"/>
    <w:rsid w:val="00755D27"/>
    <w:rsid w:val="007561C8"/>
    <w:rsid w:val="0075688E"/>
    <w:rsid w:val="00774B14"/>
    <w:rsid w:val="007757EA"/>
    <w:rsid w:val="00777229"/>
    <w:rsid w:val="0077748C"/>
    <w:rsid w:val="00784D29"/>
    <w:rsid w:val="007861DD"/>
    <w:rsid w:val="007A0AEF"/>
    <w:rsid w:val="007A33EE"/>
    <w:rsid w:val="007B3EDA"/>
    <w:rsid w:val="007C4B51"/>
    <w:rsid w:val="007C5775"/>
    <w:rsid w:val="007C64C5"/>
    <w:rsid w:val="007D1ABA"/>
    <w:rsid w:val="007D68F2"/>
    <w:rsid w:val="007D7FC0"/>
    <w:rsid w:val="007E0127"/>
    <w:rsid w:val="007E67EC"/>
    <w:rsid w:val="007F2ABB"/>
    <w:rsid w:val="007F4E98"/>
    <w:rsid w:val="008055E0"/>
    <w:rsid w:val="00807F59"/>
    <w:rsid w:val="00812627"/>
    <w:rsid w:val="008202D7"/>
    <w:rsid w:val="0082038F"/>
    <w:rsid w:val="00841142"/>
    <w:rsid w:val="00841A35"/>
    <w:rsid w:val="00842636"/>
    <w:rsid w:val="00852F92"/>
    <w:rsid w:val="0086572B"/>
    <w:rsid w:val="00866CD3"/>
    <w:rsid w:val="00870480"/>
    <w:rsid w:val="00872ABF"/>
    <w:rsid w:val="00877C3A"/>
    <w:rsid w:val="008805B7"/>
    <w:rsid w:val="00883379"/>
    <w:rsid w:val="008A1030"/>
    <w:rsid w:val="008A3D43"/>
    <w:rsid w:val="008A56E6"/>
    <w:rsid w:val="008A6FD3"/>
    <w:rsid w:val="008B1047"/>
    <w:rsid w:val="008C3D81"/>
    <w:rsid w:val="008C6A9F"/>
    <w:rsid w:val="008C6C34"/>
    <w:rsid w:val="008D7384"/>
    <w:rsid w:val="008D7C4F"/>
    <w:rsid w:val="008E00BF"/>
    <w:rsid w:val="008E349A"/>
    <w:rsid w:val="008E412C"/>
    <w:rsid w:val="008E45B8"/>
    <w:rsid w:val="008F6418"/>
    <w:rsid w:val="008F7365"/>
    <w:rsid w:val="00902501"/>
    <w:rsid w:val="00902A52"/>
    <w:rsid w:val="009240FE"/>
    <w:rsid w:val="0092483B"/>
    <w:rsid w:val="00934B36"/>
    <w:rsid w:val="009536A7"/>
    <w:rsid w:val="00954F3D"/>
    <w:rsid w:val="009566D6"/>
    <w:rsid w:val="00957C35"/>
    <w:rsid w:val="00960627"/>
    <w:rsid w:val="009611DF"/>
    <w:rsid w:val="00963807"/>
    <w:rsid w:val="00964FFA"/>
    <w:rsid w:val="009700B4"/>
    <w:rsid w:val="00970C62"/>
    <w:rsid w:val="00970DBF"/>
    <w:rsid w:val="00973C16"/>
    <w:rsid w:val="00975FE1"/>
    <w:rsid w:val="00983894"/>
    <w:rsid w:val="00984D6E"/>
    <w:rsid w:val="00991F47"/>
    <w:rsid w:val="00992CB1"/>
    <w:rsid w:val="00994E8E"/>
    <w:rsid w:val="00997FB0"/>
    <w:rsid w:val="009A7091"/>
    <w:rsid w:val="009E120E"/>
    <w:rsid w:val="009E3E64"/>
    <w:rsid w:val="009F1420"/>
    <w:rsid w:val="009F67EC"/>
    <w:rsid w:val="00A065E8"/>
    <w:rsid w:val="00A101B7"/>
    <w:rsid w:val="00A1077B"/>
    <w:rsid w:val="00A22C4E"/>
    <w:rsid w:val="00A25C6E"/>
    <w:rsid w:val="00A4181F"/>
    <w:rsid w:val="00A43A19"/>
    <w:rsid w:val="00A467F8"/>
    <w:rsid w:val="00A47C20"/>
    <w:rsid w:val="00A56E72"/>
    <w:rsid w:val="00A72727"/>
    <w:rsid w:val="00A7338F"/>
    <w:rsid w:val="00A75808"/>
    <w:rsid w:val="00A7775C"/>
    <w:rsid w:val="00A7775F"/>
    <w:rsid w:val="00A77A9E"/>
    <w:rsid w:val="00A82198"/>
    <w:rsid w:val="00A821F4"/>
    <w:rsid w:val="00A82304"/>
    <w:rsid w:val="00A82317"/>
    <w:rsid w:val="00A87723"/>
    <w:rsid w:val="00A911F9"/>
    <w:rsid w:val="00A931ED"/>
    <w:rsid w:val="00A97FD3"/>
    <w:rsid w:val="00AB27C9"/>
    <w:rsid w:val="00AB2964"/>
    <w:rsid w:val="00AB4F80"/>
    <w:rsid w:val="00AC3A11"/>
    <w:rsid w:val="00AC6CA4"/>
    <w:rsid w:val="00AC73D9"/>
    <w:rsid w:val="00AD0AD7"/>
    <w:rsid w:val="00AD1FDD"/>
    <w:rsid w:val="00AD6ACF"/>
    <w:rsid w:val="00AE1695"/>
    <w:rsid w:val="00AE4AD7"/>
    <w:rsid w:val="00B07542"/>
    <w:rsid w:val="00B13817"/>
    <w:rsid w:val="00B14FEE"/>
    <w:rsid w:val="00B2031E"/>
    <w:rsid w:val="00B32532"/>
    <w:rsid w:val="00B469C0"/>
    <w:rsid w:val="00B4750D"/>
    <w:rsid w:val="00B64127"/>
    <w:rsid w:val="00B71B48"/>
    <w:rsid w:val="00B74748"/>
    <w:rsid w:val="00B77B5E"/>
    <w:rsid w:val="00B80658"/>
    <w:rsid w:val="00B8387C"/>
    <w:rsid w:val="00BA0418"/>
    <w:rsid w:val="00BA2803"/>
    <w:rsid w:val="00BA41FB"/>
    <w:rsid w:val="00BB1F83"/>
    <w:rsid w:val="00BC050A"/>
    <w:rsid w:val="00BC56AC"/>
    <w:rsid w:val="00BC6DF6"/>
    <w:rsid w:val="00BC78C4"/>
    <w:rsid w:val="00BD698A"/>
    <w:rsid w:val="00BE157E"/>
    <w:rsid w:val="00BE2437"/>
    <w:rsid w:val="00BE7CB7"/>
    <w:rsid w:val="00BF13D8"/>
    <w:rsid w:val="00C00444"/>
    <w:rsid w:val="00C05CF0"/>
    <w:rsid w:val="00C06F92"/>
    <w:rsid w:val="00C1448B"/>
    <w:rsid w:val="00C157A1"/>
    <w:rsid w:val="00C16015"/>
    <w:rsid w:val="00C26171"/>
    <w:rsid w:val="00C31F96"/>
    <w:rsid w:val="00C3497A"/>
    <w:rsid w:val="00C37620"/>
    <w:rsid w:val="00C377E8"/>
    <w:rsid w:val="00C45775"/>
    <w:rsid w:val="00C45A4F"/>
    <w:rsid w:val="00C473E0"/>
    <w:rsid w:val="00C54986"/>
    <w:rsid w:val="00C574DF"/>
    <w:rsid w:val="00C73214"/>
    <w:rsid w:val="00C76DFE"/>
    <w:rsid w:val="00C771C4"/>
    <w:rsid w:val="00C817CB"/>
    <w:rsid w:val="00C94673"/>
    <w:rsid w:val="00C96D6B"/>
    <w:rsid w:val="00CA5909"/>
    <w:rsid w:val="00CB3DAE"/>
    <w:rsid w:val="00CB58E8"/>
    <w:rsid w:val="00CB6303"/>
    <w:rsid w:val="00CB7BC3"/>
    <w:rsid w:val="00CC282E"/>
    <w:rsid w:val="00CD19D4"/>
    <w:rsid w:val="00CD57F7"/>
    <w:rsid w:val="00CD61D1"/>
    <w:rsid w:val="00CD6593"/>
    <w:rsid w:val="00CE0A78"/>
    <w:rsid w:val="00CE612D"/>
    <w:rsid w:val="00CE74EC"/>
    <w:rsid w:val="00CE7750"/>
    <w:rsid w:val="00CF4125"/>
    <w:rsid w:val="00D01B49"/>
    <w:rsid w:val="00D024E8"/>
    <w:rsid w:val="00D067A8"/>
    <w:rsid w:val="00D1461B"/>
    <w:rsid w:val="00D16B40"/>
    <w:rsid w:val="00D20967"/>
    <w:rsid w:val="00D22B42"/>
    <w:rsid w:val="00D252D0"/>
    <w:rsid w:val="00D272D8"/>
    <w:rsid w:val="00D54D24"/>
    <w:rsid w:val="00D56450"/>
    <w:rsid w:val="00D72E20"/>
    <w:rsid w:val="00D744EF"/>
    <w:rsid w:val="00D8093E"/>
    <w:rsid w:val="00D83836"/>
    <w:rsid w:val="00D9034E"/>
    <w:rsid w:val="00D90E76"/>
    <w:rsid w:val="00DA0888"/>
    <w:rsid w:val="00DA0E1F"/>
    <w:rsid w:val="00DA59A2"/>
    <w:rsid w:val="00DB32F2"/>
    <w:rsid w:val="00DB3AED"/>
    <w:rsid w:val="00DC1588"/>
    <w:rsid w:val="00DC3177"/>
    <w:rsid w:val="00DC4A41"/>
    <w:rsid w:val="00DD0027"/>
    <w:rsid w:val="00DE1E9F"/>
    <w:rsid w:val="00DE25C0"/>
    <w:rsid w:val="00DE63AE"/>
    <w:rsid w:val="00DF1A6F"/>
    <w:rsid w:val="00DF483B"/>
    <w:rsid w:val="00DF7CBA"/>
    <w:rsid w:val="00E037BE"/>
    <w:rsid w:val="00E20878"/>
    <w:rsid w:val="00E21828"/>
    <w:rsid w:val="00E21D9B"/>
    <w:rsid w:val="00E257FA"/>
    <w:rsid w:val="00E25EFC"/>
    <w:rsid w:val="00E279D0"/>
    <w:rsid w:val="00E43A56"/>
    <w:rsid w:val="00E508A1"/>
    <w:rsid w:val="00E523CB"/>
    <w:rsid w:val="00E53BBE"/>
    <w:rsid w:val="00E60AA4"/>
    <w:rsid w:val="00E6633F"/>
    <w:rsid w:val="00E71ECE"/>
    <w:rsid w:val="00E75781"/>
    <w:rsid w:val="00E8078E"/>
    <w:rsid w:val="00E80BB0"/>
    <w:rsid w:val="00E80C12"/>
    <w:rsid w:val="00E84894"/>
    <w:rsid w:val="00E94DCE"/>
    <w:rsid w:val="00E95D3D"/>
    <w:rsid w:val="00EA4977"/>
    <w:rsid w:val="00EA7168"/>
    <w:rsid w:val="00EB210F"/>
    <w:rsid w:val="00EB4328"/>
    <w:rsid w:val="00EB67EE"/>
    <w:rsid w:val="00EB6C91"/>
    <w:rsid w:val="00EC13A8"/>
    <w:rsid w:val="00EC2B12"/>
    <w:rsid w:val="00EC560F"/>
    <w:rsid w:val="00EC733D"/>
    <w:rsid w:val="00EE1D13"/>
    <w:rsid w:val="00EE5792"/>
    <w:rsid w:val="00EE5EBB"/>
    <w:rsid w:val="00F02CA4"/>
    <w:rsid w:val="00F037FC"/>
    <w:rsid w:val="00F06537"/>
    <w:rsid w:val="00F16805"/>
    <w:rsid w:val="00F1723D"/>
    <w:rsid w:val="00F176AD"/>
    <w:rsid w:val="00F17907"/>
    <w:rsid w:val="00F17A2C"/>
    <w:rsid w:val="00F20180"/>
    <w:rsid w:val="00F20F14"/>
    <w:rsid w:val="00F219A8"/>
    <w:rsid w:val="00F33A65"/>
    <w:rsid w:val="00F50038"/>
    <w:rsid w:val="00F56EFF"/>
    <w:rsid w:val="00F67057"/>
    <w:rsid w:val="00F7187A"/>
    <w:rsid w:val="00F7195E"/>
    <w:rsid w:val="00F7451F"/>
    <w:rsid w:val="00F74A76"/>
    <w:rsid w:val="00F769BB"/>
    <w:rsid w:val="00F8383C"/>
    <w:rsid w:val="00F865C7"/>
    <w:rsid w:val="00F93A2C"/>
    <w:rsid w:val="00FA0BB4"/>
    <w:rsid w:val="00FA3188"/>
    <w:rsid w:val="00FA54AD"/>
    <w:rsid w:val="00FB0ABA"/>
    <w:rsid w:val="00FB1494"/>
    <w:rsid w:val="00FB1971"/>
    <w:rsid w:val="00FB4F04"/>
    <w:rsid w:val="00FB6302"/>
    <w:rsid w:val="00FB7FC5"/>
    <w:rsid w:val="00FC48A1"/>
    <w:rsid w:val="00FD09F5"/>
    <w:rsid w:val="00FD2D3B"/>
    <w:rsid w:val="00FD5D50"/>
    <w:rsid w:val="00FD5E04"/>
    <w:rsid w:val="00FD633C"/>
    <w:rsid w:val="00FE1A0D"/>
    <w:rsid w:val="00FE5511"/>
    <w:rsid w:val="00FF09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77"/>
  </w:style>
  <w:style w:type="paragraph" w:styleId="Heading1">
    <w:name w:val="heading 1"/>
    <w:basedOn w:val="Normal"/>
    <w:next w:val="Normal"/>
    <w:link w:val="Heading1Char"/>
    <w:uiPriority w:val="9"/>
    <w:qFormat/>
    <w:rsid w:val="00437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01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4EF"/>
    <w:pPr>
      <w:ind w:left="720"/>
      <w:contextualSpacing/>
    </w:pPr>
  </w:style>
  <w:style w:type="character" w:styleId="Hyperlink">
    <w:name w:val="Hyperlink"/>
    <w:basedOn w:val="DefaultParagraphFont"/>
    <w:uiPriority w:val="99"/>
    <w:unhideWhenUsed/>
    <w:rsid w:val="000B26C5"/>
    <w:rPr>
      <w:color w:val="0000FF" w:themeColor="hyperlink"/>
      <w:u w:val="single"/>
    </w:rPr>
  </w:style>
  <w:style w:type="character" w:customStyle="1" w:styleId="fontstyle01">
    <w:name w:val="fontstyle01"/>
    <w:basedOn w:val="DefaultParagraphFont"/>
    <w:rsid w:val="00C771C4"/>
    <w:rPr>
      <w:rFonts w:ascii="Garamond-Bold" w:hAnsi="Garamond-Bold" w:hint="default"/>
      <w:b/>
      <w:bCs/>
      <w:i w:val="0"/>
      <w:iCs w:val="0"/>
      <w:color w:val="000000"/>
      <w:sz w:val="24"/>
      <w:szCs w:val="24"/>
    </w:rPr>
  </w:style>
  <w:style w:type="character" w:customStyle="1" w:styleId="fontstyle21">
    <w:name w:val="fontstyle21"/>
    <w:basedOn w:val="DefaultParagraphFont"/>
    <w:rsid w:val="00C771C4"/>
    <w:rPr>
      <w:rFonts w:ascii="Garamond" w:hAnsi="Garamond" w:hint="default"/>
      <w:b w:val="0"/>
      <w:bCs w:val="0"/>
      <w:i w:val="0"/>
      <w:iCs w:val="0"/>
      <w:color w:val="000000"/>
      <w:sz w:val="24"/>
      <w:szCs w:val="24"/>
    </w:rPr>
  </w:style>
  <w:style w:type="character" w:customStyle="1" w:styleId="fontstyle31">
    <w:name w:val="fontstyle31"/>
    <w:basedOn w:val="DefaultParagraphFont"/>
    <w:rsid w:val="00C771C4"/>
    <w:rPr>
      <w:rFonts w:ascii="Garamond-Italic" w:hAnsi="Garamond-Italic" w:hint="default"/>
      <w:b w:val="0"/>
      <w:bCs w:val="0"/>
      <w:i/>
      <w:iCs/>
      <w:color w:val="000000"/>
      <w:sz w:val="24"/>
      <w:szCs w:val="24"/>
    </w:rPr>
  </w:style>
  <w:style w:type="table" w:styleId="TableGrid">
    <w:name w:val="Table Grid"/>
    <w:basedOn w:val="TableNormal"/>
    <w:uiPriority w:val="59"/>
    <w:rsid w:val="00FB1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A0AEF"/>
    <w:pPr>
      <w:tabs>
        <w:tab w:val="center" w:pos="4680"/>
        <w:tab w:val="right" w:pos="9360"/>
      </w:tabs>
    </w:pPr>
  </w:style>
  <w:style w:type="character" w:customStyle="1" w:styleId="HeaderChar">
    <w:name w:val="Header Char"/>
    <w:basedOn w:val="DefaultParagraphFont"/>
    <w:link w:val="Header"/>
    <w:uiPriority w:val="99"/>
    <w:semiHidden/>
    <w:rsid w:val="007A0AEF"/>
  </w:style>
  <w:style w:type="paragraph" w:styleId="Footer">
    <w:name w:val="footer"/>
    <w:basedOn w:val="Normal"/>
    <w:link w:val="FooterChar"/>
    <w:uiPriority w:val="99"/>
    <w:unhideWhenUsed/>
    <w:rsid w:val="007A0AEF"/>
    <w:pPr>
      <w:tabs>
        <w:tab w:val="center" w:pos="4680"/>
        <w:tab w:val="right" w:pos="9360"/>
      </w:tabs>
    </w:pPr>
  </w:style>
  <w:style w:type="character" w:customStyle="1" w:styleId="FooterChar">
    <w:name w:val="Footer Char"/>
    <w:basedOn w:val="DefaultParagraphFont"/>
    <w:link w:val="Footer"/>
    <w:uiPriority w:val="99"/>
    <w:rsid w:val="007A0AEF"/>
  </w:style>
  <w:style w:type="character" w:customStyle="1" w:styleId="Heading1Char">
    <w:name w:val="Heading 1 Char"/>
    <w:basedOn w:val="DefaultParagraphFont"/>
    <w:link w:val="Heading1"/>
    <w:uiPriority w:val="9"/>
    <w:rsid w:val="004373B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024EF"/>
    <w:rPr>
      <w:color w:val="800080" w:themeColor="followedHyperlink"/>
      <w:u w:val="single"/>
    </w:rPr>
  </w:style>
  <w:style w:type="paragraph" w:styleId="Date">
    <w:name w:val="Date"/>
    <w:basedOn w:val="Normal"/>
    <w:next w:val="Normal"/>
    <w:link w:val="DateChar"/>
    <w:uiPriority w:val="99"/>
    <w:semiHidden/>
    <w:unhideWhenUsed/>
    <w:rsid w:val="00144B9C"/>
  </w:style>
  <w:style w:type="character" w:customStyle="1" w:styleId="DateChar">
    <w:name w:val="Date Char"/>
    <w:basedOn w:val="DefaultParagraphFont"/>
    <w:link w:val="Date"/>
    <w:uiPriority w:val="99"/>
    <w:semiHidden/>
    <w:rsid w:val="00144B9C"/>
  </w:style>
  <w:style w:type="paragraph" w:styleId="NormalWeb">
    <w:name w:val="Normal (Web)"/>
    <w:basedOn w:val="Normal"/>
    <w:uiPriority w:val="99"/>
    <w:semiHidden/>
    <w:unhideWhenUsed/>
    <w:rsid w:val="000A77E0"/>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2F013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153760">
      <w:bodyDiv w:val="1"/>
      <w:marLeft w:val="0"/>
      <w:marRight w:val="0"/>
      <w:marTop w:val="0"/>
      <w:marBottom w:val="0"/>
      <w:divBdr>
        <w:top w:val="none" w:sz="0" w:space="0" w:color="auto"/>
        <w:left w:val="none" w:sz="0" w:space="0" w:color="auto"/>
        <w:bottom w:val="none" w:sz="0" w:space="0" w:color="auto"/>
        <w:right w:val="none" w:sz="0" w:space="0" w:color="auto"/>
      </w:divBdr>
    </w:div>
    <w:div w:id="173811172">
      <w:bodyDiv w:val="1"/>
      <w:marLeft w:val="0"/>
      <w:marRight w:val="0"/>
      <w:marTop w:val="0"/>
      <w:marBottom w:val="0"/>
      <w:divBdr>
        <w:top w:val="none" w:sz="0" w:space="0" w:color="auto"/>
        <w:left w:val="none" w:sz="0" w:space="0" w:color="auto"/>
        <w:bottom w:val="none" w:sz="0" w:space="0" w:color="auto"/>
        <w:right w:val="none" w:sz="0" w:space="0" w:color="auto"/>
      </w:divBdr>
    </w:div>
    <w:div w:id="214128793">
      <w:bodyDiv w:val="1"/>
      <w:marLeft w:val="0"/>
      <w:marRight w:val="0"/>
      <w:marTop w:val="0"/>
      <w:marBottom w:val="0"/>
      <w:divBdr>
        <w:top w:val="none" w:sz="0" w:space="0" w:color="auto"/>
        <w:left w:val="none" w:sz="0" w:space="0" w:color="auto"/>
        <w:bottom w:val="none" w:sz="0" w:space="0" w:color="auto"/>
        <w:right w:val="none" w:sz="0" w:space="0" w:color="auto"/>
      </w:divBdr>
    </w:div>
    <w:div w:id="358707517">
      <w:bodyDiv w:val="1"/>
      <w:marLeft w:val="0"/>
      <w:marRight w:val="0"/>
      <w:marTop w:val="0"/>
      <w:marBottom w:val="0"/>
      <w:divBdr>
        <w:top w:val="none" w:sz="0" w:space="0" w:color="auto"/>
        <w:left w:val="none" w:sz="0" w:space="0" w:color="auto"/>
        <w:bottom w:val="none" w:sz="0" w:space="0" w:color="auto"/>
        <w:right w:val="none" w:sz="0" w:space="0" w:color="auto"/>
      </w:divBdr>
    </w:div>
    <w:div w:id="1256287869">
      <w:bodyDiv w:val="1"/>
      <w:marLeft w:val="0"/>
      <w:marRight w:val="0"/>
      <w:marTop w:val="0"/>
      <w:marBottom w:val="0"/>
      <w:divBdr>
        <w:top w:val="none" w:sz="0" w:space="0" w:color="auto"/>
        <w:left w:val="none" w:sz="0" w:space="0" w:color="auto"/>
        <w:bottom w:val="none" w:sz="0" w:space="0" w:color="auto"/>
        <w:right w:val="none" w:sz="0" w:space="0" w:color="auto"/>
      </w:divBdr>
    </w:div>
    <w:div w:id="1305046224">
      <w:bodyDiv w:val="1"/>
      <w:marLeft w:val="0"/>
      <w:marRight w:val="0"/>
      <w:marTop w:val="0"/>
      <w:marBottom w:val="0"/>
      <w:divBdr>
        <w:top w:val="none" w:sz="0" w:space="0" w:color="auto"/>
        <w:left w:val="none" w:sz="0" w:space="0" w:color="auto"/>
        <w:bottom w:val="none" w:sz="0" w:space="0" w:color="auto"/>
        <w:right w:val="none" w:sz="0" w:space="0" w:color="auto"/>
      </w:divBdr>
    </w:div>
    <w:div w:id="1488083843">
      <w:bodyDiv w:val="1"/>
      <w:marLeft w:val="0"/>
      <w:marRight w:val="0"/>
      <w:marTop w:val="0"/>
      <w:marBottom w:val="0"/>
      <w:divBdr>
        <w:top w:val="none" w:sz="0" w:space="0" w:color="auto"/>
        <w:left w:val="none" w:sz="0" w:space="0" w:color="auto"/>
        <w:bottom w:val="none" w:sz="0" w:space="0" w:color="auto"/>
        <w:right w:val="none" w:sz="0" w:space="0" w:color="auto"/>
      </w:divBdr>
    </w:div>
    <w:div w:id="1756586538">
      <w:bodyDiv w:val="1"/>
      <w:marLeft w:val="0"/>
      <w:marRight w:val="0"/>
      <w:marTop w:val="0"/>
      <w:marBottom w:val="0"/>
      <w:divBdr>
        <w:top w:val="none" w:sz="0" w:space="0" w:color="auto"/>
        <w:left w:val="none" w:sz="0" w:space="0" w:color="auto"/>
        <w:bottom w:val="none" w:sz="0" w:space="0" w:color="auto"/>
        <w:right w:val="none" w:sz="0" w:space="0" w:color="auto"/>
      </w:divBdr>
      <w:divsChild>
        <w:div w:id="1162619696">
          <w:marLeft w:val="0"/>
          <w:marRight w:val="0"/>
          <w:marTop w:val="0"/>
          <w:marBottom w:val="0"/>
          <w:divBdr>
            <w:top w:val="none" w:sz="0" w:space="0" w:color="auto"/>
            <w:left w:val="none" w:sz="0" w:space="0" w:color="auto"/>
            <w:bottom w:val="none" w:sz="0" w:space="0" w:color="auto"/>
            <w:right w:val="none" w:sz="0" w:space="0" w:color="auto"/>
          </w:divBdr>
          <w:divsChild>
            <w:div w:id="1252473108">
              <w:marLeft w:val="0"/>
              <w:marRight w:val="0"/>
              <w:marTop w:val="0"/>
              <w:marBottom w:val="0"/>
              <w:divBdr>
                <w:top w:val="none" w:sz="0" w:space="0" w:color="auto"/>
                <w:left w:val="none" w:sz="0" w:space="0" w:color="auto"/>
                <w:bottom w:val="none" w:sz="0" w:space="0" w:color="auto"/>
                <w:right w:val="none" w:sz="0" w:space="0" w:color="auto"/>
              </w:divBdr>
              <w:divsChild>
                <w:div w:id="9578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4262">
      <w:bodyDiv w:val="1"/>
      <w:marLeft w:val="0"/>
      <w:marRight w:val="0"/>
      <w:marTop w:val="0"/>
      <w:marBottom w:val="0"/>
      <w:divBdr>
        <w:top w:val="none" w:sz="0" w:space="0" w:color="auto"/>
        <w:left w:val="none" w:sz="0" w:space="0" w:color="auto"/>
        <w:bottom w:val="none" w:sz="0" w:space="0" w:color="auto"/>
        <w:right w:val="none" w:sz="0" w:space="0" w:color="auto"/>
      </w:divBdr>
    </w:div>
    <w:div w:id="1944268229">
      <w:bodyDiv w:val="1"/>
      <w:marLeft w:val="0"/>
      <w:marRight w:val="0"/>
      <w:marTop w:val="0"/>
      <w:marBottom w:val="0"/>
      <w:divBdr>
        <w:top w:val="none" w:sz="0" w:space="0" w:color="auto"/>
        <w:left w:val="none" w:sz="0" w:space="0" w:color="auto"/>
        <w:bottom w:val="none" w:sz="0" w:space="0" w:color="auto"/>
        <w:right w:val="none" w:sz="0" w:space="0" w:color="auto"/>
      </w:divBdr>
    </w:div>
    <w:div w:id="20287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uo00039@umn.edu" TargetMode="External"/><Relationship Id="rId13" Type="http://schemas.openxmlformats.org/officeDocument/2006/relationships/hyperlink" Target="https://www.icrc.org/ihl" TargetMode="External"/><Relationship Id="rId18" Type="http://schemas.openxmlformats.org/officeDocument/2006/relationships/hyperlink" Target="http://www.icrc.org/customaryihl/eng/docs/home" TargetMode="External"/><Relationship Id="rId26" Type="http://schemas.openxmlformats.org/officeDocument/2006/relationships/hyperlink" Target="https://ihl-databases.icrc.org/applic/ihl/ihl.nsf/Article.xsp?action=openDocument&amp;documentId=4BEBD9920AE0AEAEC12563CD0051DC9E" TargetMode="External"/><Relationship Id="rId39" Type="http://schemas.openxmlformats.org/officeDocument/2006/relationships/hyperlink" Target="https://diversity.umn.edu/disability/" TargetMode="External"/><Relationship Id="rId3" Type="http://schemas.openxmlformats.org/officeDocument/2006/relationships/styles" Target="styles.xml"/><Relationship Id="rId21" Type="http://schemas.openxmlformats.org/officeDocument/2006/relationships/hyperlink" Target="https://ihl-databases.icrc.org/customary-ihl/eng/docs/v1_rul_rule5" TargetMode="External"/><Relationship Id="rId34" Type="http://schemas.openxmlformats.org/officeDocument/2006/relationships/hyperlink" Target="https://policy.umn.edu/education/makeupwork" TargetMode="External"/><Relationship Id="rId42" Type="http://schemas.openxmlformats.org/officeDocument/2006/relationships/hyperlink" Target="https://dem.umn.edu/welcome" TargetMode="External"/><Relationship Id="rId7" Type="http://schemas.openxmlformats.org/officeDocument/2006/relationships/endnotes" Target="endnotes.xml"/><Relationship Id="rId12" Type="http://schemas.openxmlformats.org/officeDocument/2006/relationships/hyperlink" Target="http://www.icrc.org/applic/ihl/ihl.nsf/vwTreatiesByDate.xsp" TargetMode="External"/><Relationship Id="rId17" Type="http://schemas.openxmlformats.org/officeDocument/2006/relationships/hyperlink" Target="https://www.un.org/en/sections/un-charter/chapter-vii/index.html" TargetMode="External"/><Relationship Id="rId25" Type="http://schemas.openxmlformats.org/officeDocument/2006/relationships/hyperlink" Target="https://ihl-databases.icrc.org/applic/ihl/ihl.nsf/Article.xsp?action=openDocument&amp;documentId=E1F8F99C4C3F8FE4C12563CD0051DC8A" TargetMode="External"/><Relationship Id="rId33" Type="http://schemas.openxmlformats.org/officeDocument/2006/relationships/hyperlink" Target="http://www1.umn.edu/oscai/integrity/student/index.html" TargetMode="External"/><Relationship Id="rId38" Type="http://schemas.openxmlformats.org/officeDocument/2006/relationships/hyperlink" Target="http://regents.umn.edu/sites/default/files/policies/Equity_Diversity_EO_AA.pdf" TargetMode="External"/><Relationship Id="rId2" Type="http://schemas.openxmlformats.org/officeDocument/2006/relationships/numbering" Target="numbering.xml"/><Relationship Id="rId16" Type="http://schemas.openxmlformats.org/officeDocument/2006/relationships/hyperlink" Target="https://avalon.law.yale.edu/20th_century/hague03.asp" TargetMode="External"/><Relationship Id="rId20" Type="http://schemas.openxmlformats.org/officeDocument/2006/relationships/hyperlink" Target="https://ihl-databases.icrc.org/customary-ihl/eng/docs/v1_rul_rule3" TargetMode="External"/><Relationship Id="rId29" Type="http://schemas.openxmlformats.org/officeDocument/2006/relationships/hyperlink" Target="http://politicalviolenceataglance.org/2014/04/25/syria-and-the-internationalcriminal-court/" TargetMode="External"/><Relationship Id="rId41" Type="http://schemas.openxmlformats.org/officeDocument/2006/relationships/hyperlink" Target="https://www.uhs.umn.edu/uhs/welc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kuo.weebly.com/uploads/5/8/0/4/58044943/citation_guidelines_and_paper_formats.docx" TargetMode="External"/><Relationship Id="rId24" Type="http://schemas.openxmlformats.org/officeDocument/2006/relationships/hyperlink" Target="https://ihl-databases.icrc.org/applic/ihl/ihl.nsf/9ac284404d38ed2bc1256311002afd89/af64638eb5530e58c12563cd0051db93" TargetMode="External"/><Relationship Id="rId32" Type="http://schemas.openxmlformats.org/officeDocument/2006/relationships/hyperlink" Target="https://policy.umn.edu/education/instructorresp" TargetMode="External"/><Relationship Id="rId37" Type="http://schemas.openxmlformats.org/officeDocument/2006/relationships/hyperlink" Target="https://regents.umn.edu/sites/regents.umn.edu/files/policies/Sexual_Harassment_Sexual_Assault_Stalking_Relationship_Violence.pdf" TargetMode="External"/><Relationship Id="rId40" Type="http://schemas.openxmlformats.org/officeDocument/2006/relationships/hyperlink" Target="http://www.mentalhealth.umn.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fr.org/backgrounder/iraq-justifying-war" TargetMode="External"/><Relationship Id="rId23" Type="http://schemas.openxmlformats.org/officeDocument/2006/relationships/hyperlink" Target="https://ihl-databases.icrc.org/applic/ihl/ihl.nsf/9ac284404d38ed2bc1256311002afd89/2f681b08868538c2c12563cd0051aa8d" TargetMode="External"/><Relationship Id="rId28" Type="http://schemas.openxmlformats.org/officeDocument/2006/relationships/hyperlink" Target="http://www.asil.org/insights/volume/18/issue/15/improvinginter-state-cooperation-national-prosecution-international" TargetMode="External"/><Relationship Id="rId36" Type="http://schemas.openxmlformats.org/officeDocument/2006/relationships/hyperlink" Target="https://policy.umn.edu/education/gradingtranscripts" TargetMode="External"/><Relationship Id="rId10" Type="http://schemas.openxmlformats.org/officeDocument/2006/relationships/hyperlink" Target="https://en.wikipedia.org/wiki/National_Security_Advisor_(United_States)" TargetMode="External"/><Relationship Id="rId19" Type="http://schemas.openxmlformats.org/officeDocument/2006/relationships/hyperlink" Target="https://ihl-databases.icrc.org/customary-ihl/eng/docs/v1_rul_rule1" TargetMode="External"/><Relationship Id="rId31" Type="http://schemas.openxmlformats.org/officeDocument/2006/relationships/hyperlink" Target="https://policy.umn.edu/education/studentre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umn.edu/twincities/maps/BlegH" TargetMode="External"/><Relationship Id="rId14" Type="http://schemas.openxmlformats.org/officeDocument/2006/relationships/hyperlink" Target="http://www.icrc.org/eng/resources/documents/publication/p0739.htm" TargetMode="External"/><Relationship Id="rId22" Type="http://schemas.openxmlformats.org/officeDocument/2006/relationships/hyperlink" Target="https://ihl-databases.icrc.org/applic/ihl/ihl.nsf/WebART/365-570006?OpenDocument" TargetMode="External"/><Relationship Id="rId27" Type="http://schemas.openxmlformats.org/officeDocument/2006/relationships/hyperlink" Target="https://nsarchive2.gwu.edu/NSAEBB/NSAEBB127/02.08.01.pdf" TargetMode="External"/><Relationship Id="rId30" Type="http://schemas.openxmlformats.org/officeDocument/2006/relationships/hyperlink" Target="http://regents.umn.edu/sites/default/files/policies/Student_Conduct_Code.pdf" TargetMode="External"/><Relationship Id="rId35" Type="http://schemas.openxmlformats.org/officeDocument/2006/relationships/hyperlink" Target="https://policy.umn.edu/education/studentresp"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AC548-6275-49FF-BDCE-B8581F06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13</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Kuonaz</cp:lastModifiedBy>
  <cp:revision>208</cp:revision>
  <dcterms:created xsi:type="dcterms:W3CDTF">2020-01-08T23:40:00Z</dcterms:created>
  <dcterms:modified xsi:type="dcterms:W3CDTF">2020-03-19T20:11:00Z</dcterms:modified>
</cp:coreProperties>
</file>